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15E" w:rsidRPr="002F25AB" w:rsidRDefault="0047715E">
      <w:p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rPr>
        <w:t xml:space="preserve">Ügytípus megnevezése: </w:t>
      </w:r>
      <w:r w:rsidRPr="002F25AB">
        <w:rPr>
          <w:rFonts w:ascii="Times New Roman" w:hAnsi="Times New Roman" w:cs="Times New Roman"/>
          <w:b/>
          <w:bCs/>
          <w:color w:val="000000" w:themeColor="text1"/>
          <w:sz w:val="24"/>
          <w:szCs w:val="24"/>
        </w:rPr>
        <w:t>Hagyatéki eljárás</w:t>
      </w:r>
    </w:p>
    <w:p w:rsidR="00167A05" w:rsidRPr="002F25AB" w:rsidRDefault="00167A05">
      <w:pPr>
        <w:rPr>
          <w:rFonts w:ascii="Times New Roman" w:hAnsi="Times New Roman" w:cs="Times New Roman"/>
          <w:color w:val="000000" w:themeColor="text1"/>
          <w:sz w:val="24"/>
          <w:szCs w:val="24"/>
        </w:rPr>
      </w:pPr>
    </w:p>
    <w:p w:rsidR="0047715E" w:rsidRPr="002F25AB" w:rsidRDefault="0047715E" w:rsidP="0047715E">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 xml:space="preserve">Általános tájékoztató: </w:t>
      </w:r>
    </w:p>
    <w:p w:rsidR="00961CE2" w:rsidRPr="002F25AB" w:rsidRDefault="00961CE2" w:rsidP="00961CE2">
      <w:pPr>
        <w:rPr>
          <w:rStyle w:val="Kiemels2"/>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 hagyatéki eljárás az ember (örökhagyó) halálával bekövetkező hagyatékátszállást biztosítja; az örökhagyó vagyonában történő jogutódlást állapítja meg és igazolja. Az eljárás célja, hogy az örökléssel kapcsolatos valamennyi kérdés jogvita nélkül rendeződjék, és ehhez az érdekeltek a kellő tájékoztatást megkapják.</w:t>
      </w:r>
    </w:p>
    <w:p w:rsidR="00961CE2" w:rsidRPr="002F25AB" w:rsidRDefault="00961CE2" w:rsidP="00961CE2">
      <w:pPr>
        <w:rPr>
          <w:rFonts w:ascii="Times New Roman" w:hAnsi="Times New Roman" w:cs="Times New Roman"/>
          <w:color w:val="000000" w:themeColor="text1"/>
          <w:sz w:val="24"/>
          <w:szCs w:val="24"/>
          <w:shd w:val="clear" w:color="auto" w:fill="FFFFFF"/>
        </w:rPr>
      </w:pPr>
      <w:r w:rsidRPr="002F25AB">
        <w:rPr>
          <w:rFonts w:ascii="Times New Roman" w:hAnsi="Times New Roman" w:cs="Times New Roman"/>
          <w:color w:val="000000" w:themeColor="text1"/>
          <w:sz w:val="24"/>
          <w:szCs w:val="24"/>
          <w:shd w:val="clear" w:color="auto" w:fill="FFFFFF"/>
        </w:rPr>
        <w:t>A hagyatéki eljárás során a jegyző feladata a leltár felvételéhez szükséges adatok (az örökhagyó és a hagyatéki eljárásban érdekeltek jogszabályban meghatározott adatai, valamint a hagyatékba tartozó vagyon), továbbá az ezekkel kapcsolatos nyilatkozatok beszerzése, a tényállás tisztázása. A hagyaték megállapítása és az örökösök részére történő átadása a közjegyző hatásköre.</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b/>
                <w:bCs/>
                <w:color w:val="000000" w:themeColor="text1"/>
                <w:sz w:val="24"/>
                <w:szCs w:val="24"/>
                <w:lang w:eastAsia="hu-HU"/>
              </w:rPr>
            </w:pPr>
            <w:r w:rsidRPr="002F25AB">
              <w:rPr>
                <w:rFonts w:ascii="Times New Roman" w:eastAsia="Times New Roman" w:hAnsi="Times New Roman" w:cs="Times New Roman"/>
                <w:b/>
                <w:bCs/>
                <w:color w:val="000000" w:themeColor="text1"/>
                <w:sz w:val="24"/>
                <w:szCs w:val="24"/>
                <w:u w:val="single"/>
                <w:lang w:eastAsia="hu-HU"/>
              </w:rPr>
              <w:t>Felhívjuk figyelmét, hogy az eljárást a hozzátartozó nyilatkozata alapján folytatjuk le.</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A hagyatéki eljárásról szóló 2010. évi XXXVIII. törvény (továbbiakban </w:t>
            </w:r>
            <w:proofErr w:type="spellStart"/>
            <w:r w:rsidRPr="002F25AB">
              <w:rPr>
                <w:rFonts w:ascii="Times New Roman" w:eastAsia="Times New Roman" w:hAnsi="Times New Roman" w:cs="Times New Roman"/>
                <w:color w:val="000000" w:themeColor="text1"/>
                <w:sz w:val="24"/>
                <w:szCs w:val="24"/>
                <w:lang w:eastAsia="hu-HU"/>
              </w:rPr>
              <w:t>Hetv</w:t>
            </w:r>
            <w:proofErr w:type="spellEnd"/>
            <w:r w:rsidRPr="002F25AB">
              <w:rPr>
                <w:rFonts w:ascii="Times New Roman" w:eastAsia="Times New Roman" w:hAnsi="Times New Roman" w:cs="Times New Roman"/>
                <w:color w:val="000000" w:themeColor="text1"/>
                <w:sz w:val="24"/>
                <w:szCs w:val="24"/>
                <w:lang w:eastAsia="hu-HU"/>
              </w:rPr>
              <w:t>.) 20.§-a szerint leltározni kell a hagyatékban lévő:</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belföldön fekvő ingatlan (lakás, garázs, föld, kert, telek stb.) tulajdoni hányadát;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belföldi cégjegyzékbe bejegyzett gazdasági társaságban, illetve szövetkezetben fennálló tagi (részvényesi) részesedést;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 lajstromozott vagyontárgyat (olyan ingó dolog vagy jog, melynek meglétét közhiteles nyilvántartás igazolja </w:t>
            </w:r>
            <w:proofErr w:type="spellStart"/>
            <w:r w:rsidRPr="002F25AB">
              <w:rPr>
                <w:rFonts w:ascii="Times New Roman" w:eastAsia="Times New Roman" w:hAnsi="Times New Roman" w:cs="Times New Roman"/>
                <w:color w:val="000000" w:themeColor="text1"/>
                <w:sz w:val="24"/>
                <w:szCs w:val="24"/>
                <w:lang w:eastAsia="hu-HU"/>
              </w:rPr>
              <w:t>pl</w:t>
            </w:r>
            <w:proofErr w:type="spellEnd"/>
            <w:r w:rsidRPr="002F25AB">
              <w:rPr>
                <w:rFonts w:ascii="Times New Roman" w:eastAsia="Times New Roman" w:hAnsi="Times New Roman" w:cs="Times New Roman"/>
                <w:color w:val="000000" w:themeColor="text1"/>
                <w:sz w:val="24"/>
                <w:szCs w:val="24"/>
                <w:lang w:eastAsia="hu-HU"/>
              </w:rPr>
              <w:t>: gépjármű, lőfegyver, védett műalkotás stb.);</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 ingó vagyont, ha értéke -az örökösök bejelentése alapján- az egy örökösnek jutó ingóörökség törvényben megállapított öröklési illetékmentes értéket (jelenleg </w:t>
            </w:r>
            <w:proofErr w:type="gramStart"/>
            <w:r w:rsidRPr="002F25AB">
              <w:rPr>
                <w:rFonts w:ascii="Times New Roman" w:eastAsia="Times New Roman" w:hAnsi="Times New Roman" w:cs="Times New Roman"/>
                <w:color w:val="000000" w:themeColor="text1"/>
                <w:sz w:val="24"/>
                <w:szCs w:val="24"/>
                <w:lang w:eastAsia="hu-HU"/>
              </w:rPr>
              <w:t>300.000,-</w:t>
            </w:r>
            <w:proofErr w:type="gramEnd"/>
            <w:r w:rsidRPr="002F25AB">
              <w:rPr>
                <w:rFonts w:ascii="Times New Roman" w:eastAsia="Times New Roman" w:hAnsi="Times New Roman" w:cs="Times New Roman"/>
                <w:color w:val="000000" w:themeColor="text1"/>
                <w:sz w:val="24"/>
                <w:szCs w:val="24"/>
                <w:lang w:eastAsia="hu-HU"/>
              </w:rPr>
              <w:t>Ft) meghaladja.</w:t>
            </w:r>
          </w:p>
        </w:tc>
      </w:tr>
    </w:tbl>
    <w:p w:rsidR="00961CE2" w:rsidRPr="002F25AB" w:rsidRDefault="00961CE2" w:rsidP="00961CE2">
      <w:pPr>
        <w:rPr>
          <w:rFonts w:ascii="Times New Roman" w:hAnsi="Times New Roman" w:cs="Times New Roman"/>
          <w:color w:val="000000" w:themeColor="text1"/>
          <w:sz w:val="24"/>
          <w:szCs w:val="24"/>
        </w:rPr>
      </w:pP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b/>
                <w:bCs/>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A hagyatékot leltározni kell akkor is, ha az</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 öröklésben érdekelt öröklési érdeke veszélyeztetve van, és méhmagzat, kiskorú, cselekvőképességet érintő gondnokság alatt álló nagykorú, ismeretlen helyen lévő személy, ügyeinek vitelében akadályozott természetes </w:t>
            </w:r>
            <w:proofErr w:type="gramStart"/>
            <w:r w:rsidRPr="002F25AB">
              <w:rPr>
                <w:rFonts w:ascii="Times New Roman" w:eastAsia="Times New Roman" w:hAnsi="Times New Roman" w:cs="Times New Roman"/>
                <w:color w:val="000000" w:themeColor="text1"/>
                <w:sz w:val="24"/>
                <w:szCs w:val="24"/>
                <w:lang w:eastAsia="hu-HU"/>
              </w:rPr>
              <w:t>személy</w:t>
            </w:r>
            <w:proofErr w:type="gramEnd"/>
            <w:r w:rsidRPr="002F25AB">
              <w:rPr>
                <w:rFonts w:ascii="Times New Roman" w:eastAsia="Times New Roman" w:hAnsi="Times New Roman" w:cs="Times New Roman"/>
                <w:color w:val="000000" w:themeColor="text1"/>
                <w:sz w:val="24"/>
                <w:szCs w:val="24"/>
                <w:lang w:eastAsia="hu-HU"/>
              </w:rPr>
              <w:t xml:space="preserve"> vagy csak a Magyar Állam az érdekelt;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örökhagyó végintézkedéssel alapítvány létesítését rendelte el, vagy bizalmi vagyonkezelési jogviszonyt alapított.</w:t>
            </w:r>
          </w:p>
        </w:tc>
      </w:tr>
    </w:tbl>
    <w:p w:rsidR="00961CE2" w:rsidRPr="002F25AB" w:rsidRDefault="00961CE2" w:rsidP="00961CE2">
      <w:pPr>
        <w:pStyle w:val="Listaszerbekezds"/>
        <w:ind w:left="785"/>
        <w:rPr>
          <w:rFonts w:ascii="Times New Roman" w:hAnsi="Times New Roman" w:cs="Times New Roman"/>
          <w:b/>
          <w:bCs/>
          <w:color w:val="000000" w:themeColor="text1"/>
          <w:sz w:val="24"/>
          <w:szCs w:val="24"/>
        </w:rPr>
      </w:pPr>
    </w:p>
    <w:p w:rsidR="00167A05" w:rsidRPr="002F25AB" w:rsidRDefault="00167A05" w:rsidP="00961CE2">
      <w:pPr>
        <w:pStyle w:val="Listaszerbekezds"/>
        <w:ind w:left="785"/>
        <w:rPr>
          <w:rFonts w:ascii="Times New Roman" w:hAnsi="Times New Roman" w:cs="Times New Roman"/>
          <w:b/>
          <w:bCs/>
          <w:color w:val="000000" w:themeColor="text1"/>
          <w:sz w:val="24"/>
          <w:szCs w:val="24"/>
        </w:rPr>
      </w:pPr>
    </w:p>
    <w:p w:rsidR="00961CE2" w:rsidRPr="002F25AB" w:rsidRDefault="00961CE2" w:rsidP="0047715E">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 xml:space="preserve">Illetékesség: </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961CE2">
        <w:tc>
          <w:tcPr>
            <w:tcW w:w="0" w:type="auto"/>
            <w:shd w:val="clear" w:color="auto" w:fill="FFFFFF"/>
            <w:tcMar>
              <w:top w:w="15" w:type="dxa"/>
              <w:left w:w="30" w:type="dxa"/>
              <w:bottom w:w="0" w:type="dxa"/>
              <w:right w:w="0" w:type="dxa"/>
            </w:tcMar>
            <w:vAlign w:val="center"/>
            <w:hideMark/>
          </w:tcPr>
          <w:p w:rsidR="00961CE2" w:rsidRPr="002F25AB" w:rsidRDefault="00961CE2" w:rsidP="00961CE2">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Az eljárás lefolytatására elsősorban örökhagyó utolsó belföldi lakóhelye</w:t>
            </w:r>
            <w:r w:rsidRPr="002F25AB">
              <w:rPr>
                <w:rFonts w:ascii="Times New Roman" w:eastAsia="Times New Roman" w:hAnsi="Times New Roman" w:cs="Times New Roman"/>
                <w:color w:val="000000" w:themeColor="text1"/>
                <w:sz w:val="24"/>
                <w:szCs w:val="24"/>
                <w:lang w:eastAsia="hu-HU"/>
              </w:rPr>
              <w:t>; ennek hiányában, utolsó belföldi tartózkodási helye; ennek hiányában belföldi elhalálozásának helye; ennek hiányában a hagyatéki vagyon fekvésének helye </w:t>
            </w:r>
            <w:r w:rsidRPr="002F25AB">
              <w:rPr>
                <w:rFonts w:ascii="Times New Roman" w:eastAsia="Times New Roman" w:hAnsi="Times New Roman" w:cs="Times New Roman"/>
                <w:b/>
                <w:bCs/>
                <w:color w:val="000000" w:themeColor="text1"/>
                <w:sz w:val="24"/>
                <w:szCs w:val="24"/>
                <w:lang w:eastAsia="hu-HU"/>
              </w:rPr>
              <w:t>szerinti jegyző az illetékes</w:t>
            </w:r>
            <w:r w:rsidRPr="002F25AB">
              <w:rPr>
                <w:rFonts w:ascii="Times New Roman" w:eastAsia="Times New Roman" w:hAnsi="Times New Roman" w:cs="Times New Roman"/>
                <w:color w:val="000000" w:themeColor="text1"/>
                <w:sz w:val="24"/>
                <w:szCs w:val="24"/>
                <w:lang w:eastAsia="hu-HU"/>
              </w:rPr>
              <w:t>. Fentiek hiányában a Magyar Országos Közjegyzői Kamara – az öröklésben érdekelt hozzá benyújtott kérelme alapján történő kijelölés – szerinti jegyző az illetékes.</w:t>
            </w:r>
          </w:p>
        </w:tc>
      </w:tr>
      <w:tr w:rsidR="002F25AB" w:rsidRPr="002F25AB" w:rsidTr="00961CE2">
        <w:tc>
          <w:tcPr>
            <w:tcW w:w="0" w:type="auto"/>
            <w:shd w:val="clear" w:color="auto" w:fill="FFFFFF"/>
            <w:tcMar>
              <w:top w:w="15" w:type="dxa"/>
              <w:left w:w="30" w:type="dxa"/>
              <w:bottom w:w="0" w:type="dxa"/>
              <w:right w:w="0" w:type="dxa"/>
            </w:tcMar>
            <w:vAlign w:val="center"/>
            <w:hideMark/>
          </w:tcPr>
          <w:p w:rsidR="00961CE2" w:rsidRPr="002F25AB" w:rsidRDefault="00961CE2" w:rsidP="00961CE2">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961CE2">
        <w:tc>
          <w:tcPr>
            <w:tcW w:w="0" w:type="auto"/>
            <w:shd w:val="clear" w:color="auto" w:fill="FFFFFF"/>
            <w:tcMar>
              <w:top w:w="15" w:type="dxa"/>
              <w:left w:w="30" w:type="dxa"/>
              <w:bottom w:w="0" w:type="dxa"/>
              <w:right w:w="0" w:type="dxa"/>
            </w:tcMar>
            <w:vAlign w:val="center"/>
            <w:hideMark/>
          </w:tcPr>
          <w:p w:rsidR="00961CE2" w:rsidRPr="002F25AB" w:rsidRDefault="00961CE2" w:rsidP="00961CE2">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A hagyatéki eljárás lefolytatására illetékes közjegyző kizárólagos illetékességgel rendelkezik ugyanannak az örökhagyónak a hagyatékára vonatkozó újabb eljárásra (póthagyatéki eljárás, megismételt eljárás).</w:t>
            </w:r>
          </w:p>
        </w:tc>
      </w:tr>
    </w:tbl>
    <w:p w:rsidR="00961CE2" w:rsidRPr="002F25AB" w:rsidRDefault="00961CE2" w:rsidP="00961CE2">
      <w:pPr>
        <w:rPr>
          <w:rFonts w:ascii="Times New Roman" w:hAnsi="Times New Roman" w:cs="Times New Roman"/>
          <w:b/>
          <w:bCs/>
          <w:color w:val="000000" w:themeColor="text1"/>
          <w:sz w:val="24"/>
          <w:szCs w:val="24"/>
        </w:rPr>
      </w:pPr>
    </w:p>
    <w:p w:rsidR="00167A05" w:rsidRPr="002F25AB" w:rsidRDefault="00961CE2" w:rsidP="002F25AB">
      <w:pPr>
        <w:pStyle w:val="Listaszerbekezds"/>
        <w:numPr>
          <w:ilvl w:val="0"/>
          <w:numId w:val="1"/>
        </w:numPr>
        <w:rPr>
          <w:rFonts w:ascii="Times New Roman" w:hAnsi="Times New Roman" w:cs="Times New Roman"/>
          <w:b/>
          <w:bCs/>
          <w:color w:val="000000" w:themeColor="text1"/>
          <w:sz w:val="24"/>
          <w:szCs w:val="24"/>
        </w:rPr>
      </w:pPr>
      <w:bookmarkStart w:id="0" w:name="_Hlk42169806"/>
      <w:r w:rsidRPr="002F25AB">
        <w:rPr>
          <w:rFonts w:ascii="Times New Roman" w:hAnsi="Times New Roman" w:cs="Times New Roman"/>
          <w:b/>
          <w:bCs/>
          <w:color w:val="000000" w:themeColor="text1"/>
          <w:sz w:val="24"/>
          <w:szCs w:val="24"/>
        </w:rPr>
        <w:t xml:space="preserve">Eljárás Illetéke: </w:t>
      </w:r>
      <w:r w:rsidRPr="002F25AB">
        <w:rPr>
          <w:rFonts w:ascii="Times New Roman" w:hAnsi="Times New Roman" w:cs="Times New Roman"/>
          <w:color w:val="000000" w:themeColor="text1"/>
          <w:sz w:val="24"/>
          <w:szCs w:val="24"/>
        </w:rPr>
        <w:t>Illetékmentes eljárás</w:t>
      </w:r>
      <w:bookmarkEnd w:id="0"/>
    </w:p>
    <w:p w:rsidR="00167A05" w:rsidRPr="002F25AB" w:rsidRDefault="00167A05" w:rsidP="00961CE2">
      <w:pPr>
        <w:pStyle w:val="Listaszerbekezds"/>
        <w:ind w:left="785"/>
        <w:rPr>
          <w:rFonts w:ascii="Times New Roman" w:hAnsi="Times New Roman" w:cs="Times New Roman"/>
          <w:b/>
          <w:bCs/>
          <w:color w:val="000000" w:themeColor="text1"/>
          <w:sz w:val="24"/>
          <w:szCs w:val="24"/>
        </w:rPr>
      </w:pPr>
    </w:p>
    <w:p w:rsidR="0047715E" w:rsidRPr="002F25AB" w:rsidRDefault="0047715E" w:rsidP="0047715E">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Az eljárás ismertetése</w:t>
      </w:r>
      <w:r w:rsidR="00BE14B0" w:rsidRPr="002F25AB">
        <w:rPr>
          <w:rFonts w:ascii="Times New Roman" w:hAnsi="Times New Roman" w:cs="Times New Roman"/>
          <w:b/>
          <w:bCs/>
          <w:color w:val="000000" w:themeColor="text1"/>
          <w:sz w:val="24"/>
          <w:szCs w:val="24"/>
        </w:rPr>
        <w:t>:</w:t>
      </w:r>
    </w:p>
    <w:p w:rsidR="00961CE2" w:rsidRPr="002F25AB" w:rsidRDefault="00961CE2" w:rsidP="00961CE2">
      <w:pPr>
        <w:rPr>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 hagyatéki eljárás hivatalból akkor indul, amikor a jegyző az örökhagyó haláláról értesül</w:t>
      </w:r>
      <w:r w:rsidRPr="002F25AB">
        <w:rPr>
          <w:rFonts w:ascii="Times New Roman" w:hAnsi="Times New Roman" w:cs="Times New Roman"/>
          <w:color w:val="000000" w:themeColor="text1"/>
          <w:sz w:val="24"/>
          <w:szCs w:val="24"/>
          <w:shd w:val="clear" w:color="auto" w:fill="FFFFFF"/>
        </w:rPr>
        <w:t xml:space="preserve"> (a halottvizsgálati bizonyítvány alapján, ennek hiányában, a bíróság holtnak nyilvánító vagy a halál tényét megállapító végzése alapján). </w:t>
      </w:r>
      <w:r w:rsidRPr="002F25AB">
        <w:rPr>
          <w:rStyle w:val="Kiemels2"/>
          <w:rFonts w:ascii="Times New Roman" w:hAnsi="Times New Roman" w:cs="Times New Roman"/>
          <w:color w:val="000000" w:themeColor="text1"/>
          <w:sz w:val="24"/>
          <w:szCs w:val="24"/>
          <w:shd w:val="clear" w:color="auto" w:fill="FFFFFF"/>
        </w:rPr>
        <w:t>A halottvizsgálati bizonyítványon megjelölt hozzátartozó</w:t>
      </w:r>
      <w:r w:rsidRPr="002F25AB">
        <w:rPr>
          <w:rFonts w:ascii="Times New Roman" w:hAnsi="Times New Roman" w:cs="Times New Roman"/>
          <w:color w:val="000000" w:themeColor="text1"/>
          <w:sz w:val="24"/>
          <w:szCs w:val="24"/>
          <w:shd w:val="clear" w:color="auto" w:fill="FFFFFF"/>
        </w:rPr>
        <w:t xml:space="preserve"> (hatóságunk előtt csak az ott megjelölt hozzátartozó </w:t>
      </w:r>
      <w:r w:rsidRPr="002F25AB">
        <w:rPr>
          <w:rFonts w:ascii="Times New Roman" w:hAnsi="Times New Roman" w:cs="Times New Roman"/>
          <w:b/>
          <w:bCs/>
          <w:color w:val="000000" w:themeColor="text1"/>
          <w:sz w:val="24"/>
          <w:szCs w:val="24"/>
          <w:shd w:val="clear" w:color="auto" w:fill="FFFFFF"/>
        </w:rPr>
        <w:t>ismert) </w:t>
      </w:r>
      <w:r w:rsidRPr="002F25AB">
        <w:rPr>
          <w:rStyle w:val="Kiemels2"/>
          <w:rFonts w:ascii="Times New Roman" w:hAnsi="Times New Roman" w:cs="Times New Roman"/>
          <w:b w:val="0"/>
          <w:bCs w:val="0"/>
          <w:color w:val="000000" w:themeColor="text1"/>
          <w:sz w:val="24"/>
          <w:szCs w:val="24"/>
          <w:shd w:val="clear" w:color="auto" w:fill="FFFFFF"/>
        </w:rPr>
        <w:t>értesítést és tájékoztatást kap az eljárás megindulásáról az ezzel kapcsolatos teendőiről, nyilatkozattételi kötelezettségéről.</w:t>
      </w:r>
      <w:r w:rsidRPr="002F25AB">
        <w:rPr>
          <w:rFonts w:ascii="Times New Roman" w:hAnsi="Times New Roman" w:cs="Times New Roman"/>
          <w:color w:val="000000" w:themeColor="text1"/>
          <w:sz w:val="24"/>
          <w:szCs w:val="24"/>
          <w:shd w:val="clear" w:color="auto" w:fill="FFFFFF"/>
        </w:rPr>
        <w:t xml:space="preserve"> A hagyatékkal kapcsolatos nyilatkozatot a kiértesített hozzátartozónak kell szolgáltatnia, de bármelyik öröklésben érdekelt nyilatkozatot tehet. </w:t>
      </w:r>
    </w:p>
    <w:p w:rsidR="00961CE2" w:rsidRPr="002F25AB" w:rsidRDefault="00961CE2" w:rsidP="00961CE2">
      <w:pPr>
        <w:jc w:val="both"/>
        <w:rPr>
          <w:rFonts w:ascii="Times New Roman" w:hAnsi="Times New Roman" w:cs="Times New Roman"/>
          <w:color w:val="000000" w:themeColor="text1"/>
          <w:sz w:val="24"/>
          <w:szCs w:val="24"/>
        </w:rPr>
      </w:pPr>
      <w:r w:rsidRPr="002F25AB">
        <w:rPr>
          <w:rStyle w:val="Kiemels2"/>
          <w:rFonts w:ascii="Times New Roman" w:hAnsi="Times New Roman" w:cs="Times New Roman"/>
          <w:color w:val="000000" w:themeColor="text1"/>
          <w:sz w:val="24"/>
          <w:szCs w:val="24"/>
          <w:shd w:val="clear" w:color="auto" w:fill="FFFFFF"/>
        </w:rPr>
        <w:t xml:space="preserve">Amennyiben hagyatéki leltár felvételére nem kerül sor a hagyatéki eljárás megszüntetésre kerül. Az eljárás megszüntetésre kerül még akkor, ha a nyilatkozó örökös nemleges nyilatkozatot tesz, mivel az örökhagyó </w:t>
      </w:r>
      <w:r w:rsidRPr="002F25AB">
        <w:rPr>
          <w:rFonts w:ascii="Times New Roman" w:hAnsi="Times New Roman" w:cs="Times New Roman"/>
          <w:color w:val="000000" w:themeColor="text1"/>
          <w:sz w:val="24"/>
          <w:szCs w:val="24"/>
        </w:rPr>
        <w:t>után sem ingatlan vagyon, sem leltározás alá eső, 300 000 Ft-ot meghaladó vagyontárgy nem maradt.</w:t>
      </w:r>
    </w:p>
    <w:p w:rsidR="00961CE2" w:rsidRPr="002F25AB" w:rsidRDefault="00961CE2" w:rsidP="00961CE2">
      <w:pPr>
        <w:jc w:val="both"/>
        <w:rPr>
          <w:rStyle w:val="Kiemels2"/>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Hagyatéki leltár felvétele esetén a hagyatéki ügyintéző tájékoztatja a feleket a beszerzett adatokról, a hagyaték tárgyához tartozó ismertté vált vagyontárgyakról, a biztosítási intézkedés kérelmezésének lehetőségéről, az iratbetekintési jogról, az eljárás további menetéről, a felek jogaikról, kötelezettségeikről és az eljárás várható költségeiről. Felhívja továbbá a feleket, hogy 8 napon belül jelentsék be, amennyiben a tájékoztatásban foglaltakon felül további, a hagyaték tárgyához tartozó vagyontárgy rögzítése szükséges a leltárban.</w:t>
      </w:r>
    </w:p>
    <w:p w:rsidR="00961CE2" w:rsidRPr="002F25AB" w:rsidRDefault="00961CE2" w:rsidP="00961CE2">
      <w:pPr>
        <w:jc w:val="both"/>
        <w:rPr>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 nyilatkozat(ok) megtételét követően az ügyintéző – </w:t>
      </w:r>
      <w:r w:rsidRPr="002F25AB">
        <w:rPr>
          <w:rFonts w:ascii="Times New Roman" w:hAnsi="Times New Roman" w:cs="Times New Roman"/>
          <w:color w:val="000000" w:themeColor="text1"/>
          <w:sz w:val="24"/>
          <w:szCs w:val="24"/>
          <w:shd w:val="clear" w:color="auto" w:fill="FFFFFF"/>
        </w:rPr>
        <w:t>amennyiben szükséges</w:t>
      </w:r>
      <w:r w:rsidRPr="002F25AB">
        <w:rPr>
          <w:rStyle w:val="Kiemels2"/>
          <w:rFonts w:ascii="Times New Roman" w:hAnsi="Times New Roman" w:cs="Times New Roman"/>
          <w:color w:val="000000" w:themeColor="text1"/>
          <w:sz w:val="24"/>
          <w:szCs w:val="24"/>
          <w:shd w:val="clear" w:color="auto" w:fill="FFFFFF"/>
        </w:rPr>
        <w:t> – további megkereséssel él a társhatóságok felé az eljáráshoz szükséges adatok beszerzése érdekében.</w:t>
      </w:r>
    </w:p>
    <w:p w:rsidR="00961CE2" w:rsidRPr="002F25AB" w:rsidRDefault="00961CE2" w:rsidP="00961CE2">
      <w:pPr>
        <w:jc w:val="both"/>
        <w:rPr>
          <w:rFonts w:ascii="Times New Roman" w:hAnsi="Times New Roman" w:cs="Times New Roman"/>
          <w:color w:val="000000" w:themeColor="text1"/>
          <w:sz w:val="24"/>
          <w:szCs w:val="24"/>
          <w:shd w:val="clear" w:color="auto" w:fill="FFFFFF"/>
        </w:rPr>
      </w:pPr>
      <w:r w:rsidRPr="002F25AB">
        <w:rPr>
          <w:rFonts w:ascii="Times New Roman" w:hAnsi="Times New Roman" w:cs="Times New Roman"/>
          <w:color w:val="000000" w:themeColor="text1"/>
          <w:sz w:val="24"/>
          <w:szCs w:val="24"/>
          <w:shd w:val="clear" w:color="auto" w:fill="FFFFFF"/>
        </w:rPr>
        <w:t>Amennyiben örökhagyó hagyatékát belföldön fekvő ingatlan (pl. lakás, garázs, kert, telek stb.) tulajdoni hányada is képezi, az ingatlan értékéről az illetékes települési önkormányzat jegyzője – megkeresésünk alapján – adó- és értékbizonyítványt állít ki. Az adó- és értékbizonyítvány tartalmáról az öröklésben érdekeltek tájékoztatást kapnak a hatóságtól, melyre az abban foglaltakkal szemben fellebbezéssel élhetnek. A hagyatéki leltár csak a fellebbezési határidő lejárta után, ha pedig az adó- és értékbizonyítvány ellen fellebbezéssel éltek, akkor a fellebbezés elbírálása után kerülhet megküldésre közjegyzőnek.</w:t>
      </w:r>
    </w:p>
    <w:p w:rsidR="007D6446" w:rsidRPr="002F25AB" w:rsidRDefault="007D6446" w:rsidP="00961CE2">
      <w:pPr>
        <w:jc w:val="both"/>
        <w:rPr>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 tényállás tisztázását, a szükséges adatok beszerzését követően kerül sor a hagyatéki leltár elkészítésére, mely mellékleteivel együtt kerül továbbításra a 15/1991. (XI.26.) IM rendelet alapján illetékes közjegyző részére. Az eljárás jegyzői szakasza hivatalunknál ezzel lezárul.</w:t>
      </w:r>
    </w:p>
    <w:p w:rsidR="00167A05" w:rsidRPr="002F25AB" w:rsidRDefault="00961CE2" w:rsidP="00167A05">
      <w:pPr>
        <w:jc w:val="both"/>
        <w:rPr>
          <w:rStyle w:val="Kiemels2"/>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Az eljárás indulhat kérelemre is</w:t>
      </w:r>
      <w:r w:rsidRPr="002F25AB">
        <w:rPr>
          <w:rFonts w:ascii="Times New Roman" w:hAnsi="Times New Roman" w:cs="Times New Roman"/>
          <w:color w:val="000000" w:themeColor="text1"/>
          <w:sz w:val="24"/>
          <w:szCs w:val="24"/>
          <w:shd w:val="clear" w:color="auto" w:fill="FFFFFF"/>
        </w:rPr>
        <w:t> (pl. póthagyatéki eljárás, magyar állampolgár külföldön bekövetkezett halálesete esetén) </w:t>
      </w:r>
      <w:r w:rsidRPr="002F25AB">
        <w:rPr>
          <w:rStyle w:val="Kiemels2"/>
          <w:rFonts w:ascii="Times New Roman" w:hAnsi="Times New Roman" w:cs="Times New Roman"/>
          <w:color w:val="000000" w:themeColor="text1"/>
          <w:sz w:val="24"/>
          <w:szCs w:val="24"/>
          <w:shd w:val="clear" w:color="auto" w:fill="FFFFFF"/>
        </w:rPr>
        <w:t>olyan személynek a bejelentése alapján, akinek a hagyatéki eljárás megindításához jogi érdeke fűződik. Ezt a jogi érdekét azonban valószínűsíteni kell, illetve a bejelentéshez csatolni kell a joghatóság és illetékesség megállapításhoz szükséges adatokat alátámasztó (tulajdoni lap, bankszámla kivonat, forgalmi engedély stb..), valamint a bejelentés szerinti örökhagyó halálának tényét igazoló okiratokat.</w:t>
      </w:r>
    </w:p>
    <w:p w:rsidR="00167A05" w:rsidRPr="002F25AB" w:rsidRDefault="00167A05" w:rsidP="00167A05">
      <w:pPr>
        <w:jc w:val="both"/>
        <w:rPr>
          <w:rFonts w:ascii="Times New Roman" w:hAnsi="Times New Roman" w:cs="Times New Roman"/>
          <w:b/>
          <w:bCs/>
          <w:color w:val="000000" w:themeColor="text1"/>
          <w:sz w:val="24"/>
          <w:szCs w:val="24"/>
          <w:shd w:val="clear" w:color="auto" w:fill="FFFFFF"/>
        </w:rPr>
      </w:pPr>
    </w:p>
    <w:p w:rsidR="000858AB" w:rsidRPr="002F25AB" w:rsidRDefault="000858AB" w:rsidP="000858AB">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lastRenderedPageBreak/>
        <w:t xml:space="preserve">Póthagyatéki eljárás: </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5C1A21">
        <w:tc>
          <w:tcPr>
            <w:tcW w:w="0" w:type="auto"/>
            <w:shd w:val="clear" w:color="auto" w:fill="FFFFFF"/>
            <w:tcMar>
              <w:top w:w="15" w:type="dxa"/>
              <w:left w:w="30" w:type="dxa"/>
              <w:bottom w:w="0" w:type="dxa"/>
              <w:right w:w="0" w:type="dxa"/>
            </w:tcMar>
            <w:vAlign w:val="center"/>
            <w:hideMark/>
          </w:tcPr>
          <w:p w:rsidR="000858AB" w:rsidRPr="002F25AB" w:rsidRDefault="000858AB"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Póthagyatéki eljárás lefolytatására akkor kerülhet sor, ha a hagyatéki eljárás (alaphagyatéki eljárás) befejezése után kerül elő a hagyatékhoz tartozó valamilyen vagyontárgy.</w:t>
            </w:r>
            <w:r w:rsidRPr="002F25AB">
              <w:rPr>
                <w:rFonts w:ascii="Times New Roman" w:eastAsia="Times New Roman" w:hAnsi="Times New Roman" w:cs="Times New Roman"/>
                <w:color w:val="000000" w:themeColor="text1"/>
                <w:sz w:val="24"/>
                <w:szCs w:val="24"/>
                <w:lang w:eastAsia="hu-HU"/>
              </w:rPr>
              <w:t> A póthagyatéki eljárásra a hagyatéki eljárás szabályait kell megfelelően alkalmazni, azzal a különbséggel, hogy kérelemre indul, és ez esetben az eljárást kezdeményező félnek igazolnia kell a halálozás tényét, a hagyatéki vagyon meglétét.</w:t>
            </w:r>
          </w:p>
        </w:tc>
      </w:tr>
      <w:tr w:rsidR="002F25AB" w:rsidRPr="002F25AB" w:rsidTr="005C1A21">
        <w:tc>
          <w:tcPr>
            <w:tcW w:w="0" w:type="auto"/>
            <w:shd w:val="clear" w:color="auto" w:fill="FFFFFF"/>
            <w:tcMar>
              <w:top w:w="15" w:type="dxa"/>
              <w:left w:w="30" w:type="dxa"/>
              <w:bottom w:w="0" w:type="dxa"/>
              <w:right w:w="0" w:type="dxa"/>
            </w:tcMar>
            <w:vAlign w:val="center"/>
            <w:hideMark/>
          </w:tcPr>
          <w:p w:rsidR="000858AB" w:rsidRPr="002F25AB" w:rsidRDefault="000858AB"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0858AB" w:rsidRPr="002F25AB" w:rsidRDefault="000858AB"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Az alaphagyatéki eljárásban tett nyilatkozatok és elvégzett eljárási cselekmények - az örökség visszautasításától vagy a visszautasítás jogáról való lemondástól eltekintve - a póthagyatéki eljárásra nem hatnak ki.</w:t>
            </w:r>
          </w:p>
        </w:tc>
      </w:tr>
    </w:tbl>
    <w:p w:rsidR="000858AB" w:rsidRPr="002F25AB" w:rsidRDefault="000858AB" w:rsidP="000858AB">
      <w:pPr>
        <w:rPr>
          <w:rFonts w:ascii="Times New Roman" w:hAnsi="Times New Roman" w:cs="Times New Roman"/>
          <w:b/>
          <w:bCs/>
          <w:color w:val="000000" w:themeColor="text1"/>
          <w:sz w:val="24"/>
          <w:szCs w:val="24"/>
        </w:rPr>
      </w:pPr>
    </w:p>
    <w:p w:rsidR="002F25AB" w:rsidRPr="002F25AB" w:rsidRDefault="002F25AB" w:rsidP="000858AB">
      <w:pPr>
        <w:rPr>
          <w:rFonts w:ascii="Times New Roman" w:hAnsi="Times New Roman" w:cs="Times New Roman"/>
          <w:b/>
          <w:bCs/>
          <w:color w:val="000000" w:themeColor="text1"/>
          <w:sz w:val="24"/>
          <w:szCs w:val="24"/>
        </w:rPr>
      </w:pPr>
    </w:p>
    <w:p w:rsidR="000858AB" w:rsidRPr="002F25AB" w:rsidRDefault="000858AB" w:rsidP="000858AB">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Örök</w:t>
      </w:r>
      <w:r w:rsidR="00F81720" w:rsidRPr="002F25AB">
        <w:rPr>
          <w:rFonts w:ascii="Times New Roman" w:hAnsi="Times New Roman" w:cs="Times New Roman"/>
          <w:b/>
          <w:bCs/>
          <w:color w:val="000000" w:themeColor="text1"/>
          <w:sz w:val="24"/>
          <w:szCs w:val="24"/>
        </w:rPr>
        <w:t>ös</w:t>
      </w:r>
      <w:r w:rsidRPr="002F25AB">
        <w:rPr>
          <w:rFonts w:ascii="Times New Roman" w:hAnsi="Times New Roman" w:cs="Times New Roman"/>
          <w:b/>
          <w:bCs/>
          <w:color w:val="000000" w:themeColor="text1"/>
          <w:sz w:val="24"/>
          <w:szCs w:val="24"/>
        </w:rPr>
        <w:t xml:space="preserve"> (nyilatkozatot tevő) által </w:t>
      </w:r>
      <w:r w:rsidR="00F81720" w:rsidRPr="002F25AB">
        <w:rPr>
          <w:rFonts w:ascii="Times New Roman" w:hAnsi="Times New Roman" w:cs="Times New Roman"/>
          <w:b/>
          <w:bCs/>
          <w:color w:val="000000" w:themeColor="text1"/>
          <w:sz w:val="24"/>
          <w:szCs w:val="24"/>
        </w:rPr>
        <w:t>hozott</w:t>
      </w:r>
      <w:r w:rsidRPr="002F25AB">
        <w:rPr>
          <w:rFonts w:ascii="Times New Roman" w:hAnsi="Times New Roman" w:cs="Times New Roman"/>
          <w:b/>
          <w:bCs/>
          <w:color w:val="000000" w:themeColor="text1"/>
          <w:sz w:val="24"/>
          <w:szCs w:val="24"/>
        </w:rPr>
        <w:t xml:space="preserve"> íratok:</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örökhagyó halotti anyakönyvi kivonatának másolata</w:t>
            </w:r>
            <w:r w:rsidRPr="002F25AB">
              <w:rPr>
                <w:rFonts w:ascii="Times New Roman" w:eastAsia="Times New Roman" w:hAnsi="Times New Roman" w:cs="Times New Roman"/>
                <w:color w:val="000000" w:themeColor="text1"/>
                <w:sz w:val="24"/>
                <w:szCs w:val="24"/>
                <w:lang w:eastAsia="hu-HU"/>
              </w:rPr>
              <w:t> (póthagyatéki eljárás esetén az alaphagyatéki eljárás során keletkezett hagyatékátadó végzés másolata is),</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nem magyar állampolgárság esetén örökhagyó állampolgárságát igazoló közokirat</w:t>
            </w:r>
            <w:r w:rsidRPr="002F25AB">
              <w:rPr>
                <w:rFonts w:ascii="Times New Roman" w:eastAsia="Times New Roman" w:hAnsi="Times New Roman" w:cs="Times New Roman"/>
                <w:color w:val="000000" w:themeColor="text1"/>
                <w:sz w:val="24"/>
                <w:szCs w:val="24"/>
                <w:lang w:eastAsia="hu-HU"/>
              </w:rPr>
              <w:t> (személyi igazolvány, útlevél, állampolgársági bizonyítvány, honosítási okirat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belföldön lakóhellyel, tartózkodási hellyel nem rendelkező öröklésben érdekelt </w:t>
            </w:r>
            <w:r w:rsidRPr="002F25AB">
              <w:rPr>
                <w:rFonts w:ascii="Times New Roman" w:eastAsia="Times New Roman" w:hAnsi="Times New Roman" w:cs="Times New Roman"/>
                <w:b/>
                <w:bCs/>
                <w:color w:val="000000" w:themeColor="text1"/>
                <w:sz w:val="24"/>
                <w:szCs w:val="24"/>
                <w:lang w:eastAsia="hu-HU"/>
              </w:rPr>
              <w:t>magyarországi kézbesítési megbízottjának megbízási szerződésének másolata, vagy magyarországi lakóhellyel rendelkező meghatalmazottjának meghatalmazás másolata,</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örökhagyó által tett végintézkedés esetén</w:t>
            </w:r>
            <w:r w:rsidRPr="002F25AB">
              <w:rPr>
                <w:rFonts w:ascii="Times New Roman" w:eastAsia="Times New Roman" w:hAnsi="Times New Roman" w:cs="Times New Roman"/>
                <w:color w:val="000000" w:themeColor="text1"/>
                <w:sz w:val="24"/>
                <w:szCs w:val="24"/>
                <w:lang w:eastAsia="hu-HU"/>
              </w:rPr>
              <w:t> (végrendelet, öröklési szerződés stb.) annak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amennyiben az öröklésben érdekeltek között van olyan, </w:t>
            </w:r>
            <w:r w:rsidRPr="002F25AB">
              <w:rPr>
                <w:rFonts w:ascii="Times New Roman" w:eastAsia="Times New Roman" w:hAnsi="Times New Roman" w:cs="Times New Roman"/>
                <w:b/>
                <w:bCs/>
                <w:color w:val="000000" w:themeColor="text1"/>
                <w:sz w:val="24"/>
                <w:szCs w:val="24"/>
                <w:lang w:eastAsia="hu-HU"/>
              </w:rPr>
              <w:t>aki képviselővel rendelkezik, az erre vonatkozó adatok, dokumentumok</w:t>
            </w:r>
            <w:r w:rsidRPr="002F25AB">
              <w:rPr>
                <w:rFonts w:ascii="Times New Roman" w:eastAsia="Times New Roman" w:hAnsi="Times New Roman" w:cs="Times New Roman"/>
                <w:color w:val="000000" w:themeColor="text1"/>
                <w:sz w:val="24"/>
                <w:szCs w:val="24"/>
                <w:lang w:eastAsia="hu-HU"/>
              </w:rPr>
              <w:t> (</w:t>
            </w:r>
            <w:proofErr w:type="spellStart"/>
            <w:r w:rsidRPr="002F25AB">
              <w:rPr>
                <w:rFonts w:ascii="Times New Roman" w:eastAsia="Times New Roman" w:hAnsi="Times New Roman" w:cs="Times New Roman"/>
                <w:color w:val="000000" w:themeColor="text1"/>
                <w:sz w:val="24"/>
                <w:szCs w:val="24"/>
                <w:lang w:eastAsia="hu-HU"/>
              </w:rPr>
              <w:t>pl</w:t>
            </w:r>
            <w:proofErr w:type="spellEnd"/>
            <w:r w:rsidRPr="002F25AB">
              <w:rPr>
                <w:rFonts w:ascii="Times New Roman" w:eastAsia="Times New Roman" w:hAnsi="Times New Roman" w:cs="Times New Roman"/>
                <w:color w:val="000000" w:themeColor="text1"/>
                <w:sz w:val="24"/>
                <w:szCs w:val="24"/>
                <w:lang w:eastAsia="hu-HU"/>
              </w:rPr>
              <w:t>: kiskorú törvényes képviselőjének adatai, gyámolt/gondnokolt esetében gyámhatósági határozat; meghatalmazotti képviselet esetén meghatalmazás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örökhagyó hagyatéki tartozásaira vonatkozó dokumentumok</w:t>
            </w:r>
            <w:r w:rsidRPr="002F25AB">
              <w:rPr>
                <w:rFonts w:ascii="Times New Roman" w:eastAsia="Times New Roman" w:hAnsi="Times New Roman" w:cs="Times New Roman"/>
                <w:color w:val="000000" w:themeColor="text1"/>
                <w:sz w:val="24"/>
                <w:szCs w:val="24"/>
                <w:lang w:eastAsia="hu-HU"/>
              </w:rPr>
              <w:t> (hitel- vagy pénzintézeti szerződés, elszámolás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hitelezői igény bejelentés esetén: igazoló dokumentumok másolata</w:t>
            </w:r>
            <w:r w:rsidRPr="002F25AB">
              <w:rPr>
                <w:rFonts w:ascii="Times New Roman" w:eastAsia="Times New Roman" w:hAnsi="Times New Roman" w:cs="Times New Roman"/>
                <w:color w:val="000000" w:themeColor="text1"/>
                <w:sz w:val="24"/>
                <w:szCs w:val="24"/>
                <w:lang w:eastAsia="hu-HU"/>
              </w:rPr>
              <w:t> (pl.: temetési számla, egyéb számla, elszámolás, igazolás stb.; nyilvántartáson kívüli tulajdonjogi igényt megalapozó irat (</w:t>
            </w:r>
            <w:proofErr w:type="spellStart"/>
            <w:r w:rsidRPr="002F25AB">
              <w:rPr>
                <w:rFonts w:ascii="Times New Roman" w:eastAsia="Times New Roman" w:hAnsi="Times New Roman" w:cs="Times New Roman"/>
                <w:color w:val="000000" w:themeColor="text1"/>
                <w:sz w:val="24"/>
                <w:szCs w:val="24"/>
                <w:lang w:eastAsia="hu-HU"/>
              </w:rPr>
              <w:t>pl</w:t>
            </w:r>
            <w:proofErr w:type="spellEnd"/>
            <w:r w:rsidRPr="002F25AB">
              <w:rPr>
                <w:rFonts w:ascii="Times New Roman" w:eastAsia="Times New Roman" w:hAnsi="Times New Roman" w:cs="Times New Roman"/>
                <w:color w:val="000000" w:themeColor="text1"/>
                <w:sz w:val="24"/>
                <w:szCs w:val="24"/>
                <w:lang w:eastAsia="hu-HU"/>
              </w:rPr>
              <w:t>: adásvételi szerződés); házassági vagyonközösségi igény esetén (pl.: házassági anyakönyvi kivonat) stb.</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Amennyiben örökhagyó ingatlannal vagy leltározandó ingóságokkal rendelkezik, erre vonatkozó igazolások:</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Örökhagyó ingatlanára vonatkozóan a beazonosításhoz pontos helyrajzi szám és cím megjelölése</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hatósági nyilvántartásban szereplő </w:t>
            </w:r>
            <w:r w:rsidRPr="002F25AB">
              <w:rPr>
                <w:rFonts w:ascii="Times New Roman" w:eastAsia="Times New Roman" w:hAnsi="Times New Roman" w:cs="Times New Roman"/>
                <w:b/>
                <w:bCs/>
                <w:color w:val="000000" w:themeColor="text1"/>
                <w:sz w:val="24"/>
                <w:szCs w:val="24"/>
                <w:lang w:eastAsia="hu-HU"/>
              </w:rPr>
              <w:t>jármű </w:t>
            </w:r>
            <w:r w:rsidRPr="002F25AB">
              <w:rPr>
                <w:rFonts w:ascii="Times New Roman" w:eastAsia="Times New Roman" w:hAnsi="Times New Roman" w:cs="Times New Roman"/>
                <w:color w:val="000000" w:themeColor="text1"/>
                <w:sz w:val="24"/>
                <w:szCs w:val="24"/>
                <w:lang w:eastAsia="hu-HU"/>
              </w:rPr>
              <w:t>(pl. személygépkocsi, utánfutó, motorkerékpár, motorcsónak, mezőgazdasági haszongépjármű stb.) </w:t>
            </w:r>
            <w:r w:rsidRPr="002F25AB">
              <w:rPr>
                <w:rFonts w:ascii="Times New Roman" w:eastAsia="Times New Roman" w:hAnsi="Times New Roman" w:cs="Times New Roman"/>
                <w:b/>
                <w:bCs/>
                <w:color w:val="000000" w:themeColor="text1"/>
                <w:sz w:val="24"/>
                <w:szCs w:val="24"/>
                <w:lang w:eastAsia="hu-HU"/>
              </w:rPr>
              <w:t>forgalmi engedély 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gazdasági társaságban, ill. szövetkezetben fennálló tagi (részvényesi) részesedés esetén cégkivonat vagy alapító okirat másolata,</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pénz- és hitelintézettel szemben, fennálló követelésből eredő igazolások</w:t>
            </w:r>
            <w:r w:rsidRPr="002F25AB">
              <w:rPr>
                <w:rFonts w:ascii="Times New Roman" w:eastAsia="Times New Roman" w:hAnsi="Times New Roman" w:cs="Times New Roman"/>
                <w:color w:val="000000" w:themeColor="text1"/>
                <w:sz w:val="24"/>
                <w:szCs w:val="24"/>
                <w:lang w:eastAsia="hu-HU"/>
              </w:rPr>
              <w:t> (pénzintézetnél vezetett számla számlakivonata, egyenlegközlő, értékpapír, takarékbetétkönyv, szerződés, elszámolás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biztosításból eredő követelés igazolás</w:t>
            </w:r>
            <w:r w:rsidRPr="002F25AB">
              <w:rPr>
                <w:rFonts w:ascii="Times New Roman" w:eastAsia="Times New Roman" w:hAnsi="Times New Roman" w:cs="Times New Roman"/>
                <w:color w:val="000000" w:themeColor="text1"/>
                <w:sz w:val="24"/>
                <w:szCs w:val="24"/>
                <w:lang w:eastAsia="hu-HU"/>
              </w:rPr>
              <w:t> (</w:t>
            </w:r>
            <w:proofErr w:type="spellStart"/>
            <w:r w:rsidRPr="002F25AB">
              <w:rPr>
                <w:rFonts w:ascii="Times New Roman" w:eastAsia="Times New Roman" w:hAnsi="Times New Roman" w:cs="Times New Roman"/>
                <w:color w:val="000000" w:themeColor="text1"/>
                <w:sz w:val="24"/>
                <w:szCs w:val="24"/>
                <w:lang w:eastAsia="hu-HU"/>
              </w:rPr>
              <w:t>pl</w:t>
            </w:r>
            <w:proofErr w:type="spellEnd"/>
            <w:r w:rsidRPr="002F25AB">
              <w:rPr>
                <w:rFonts w:ascii="Times New Roman" w:eastAsia="Times New Roman" w:hAnsi="Times New Roman" w:cs="Times New Roman"/>
                <w:color w:val="000000" w:themeColor="text1"/>
                <w:sz w:val="24"/>
                <w:szCs w:val="24"/>
                <w:lang w:eastAsia="hu-HU"/>
              </w:rPr>
              <w:t>: kötvény, díjközlő)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pénztári tagságból eredő követelés igazolás</w:t>
            </w:r>
            <w:r w:rsidRPr="002F25AB">
              <w:rPr>
                <w:rFonts w:ascii="Times New Roman" w:eastAsia="Times New Roman" w:hAnsi="Times New Roman" w:cs="Times New Roman"/>
                <w:color w:val="000000" w:themeColor="text1"/>
                <w:sz w:val="24"/>
                <w:szCs w:val="24"/>
                <w:lang w:eastAsia="hu-HU"/>
              </w:rPr>
              <w:t> (</w:t>
            </w:r>
            <w:proofErr w:type="spellStart"/>
            <w:r w:rsidRPr="002F25AB">
              <w:rPr>
                <w:rFonts w:ascii="Times New Roman" w:eastAsia="Times New Roman" w:hAnsi="Times New Roman" w:cs="Times New Roman"/>
                <w:color w:val="000000" w:themeColor="text1"/>
                <w:sz w:val="24"/>
                <w:szCs w:val="24"/>
                <w:lang w:eastAsia="hu-HU"/>
              </w:rPr>
              <w:t>pl</w:t>
            </w:r>
            <w:proofErr w:type="spellEnd"/>
            <w:r w:rsidRPr="002F25AB">
              <w:rPr>
                <w:rFonts w:ascii="Times New Roman" w:eastAsia="Times New Roman" w:hAnsi="Times New Roman" w:cs="Times New Roman"/>
                <w:color w:val="000000" w:themeColor="text1"/>
                <w:sz w:val="24"/>
                <w:szCs w:val="24"/>
                <w:lang w:eastAsia="hu-HU"/>
              </w:rPr>
              <w:t>: lakás-takarék, magánnyugdíj pénztári tagság, egészségbiztosítási tagság tagi értesítő, egyenlegközlő, kimutatás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lastRenderedPageBreak/>
              <w:t>- örökhagyót megillető járandóságra vonatkozó igazolás</w:t>
            </w:r>
            <w:r w:rsidRPr="002F25AB">
              <w:rPr>
                <w:rFonts w:ascii="Times New Roman" w:eastAsia="Times New Roman" w:hAnsi="Times New Roman" w:cs="Times New Roman"/>
                <w:color w:val="000000" w:themeColor="text1"/>
                <w:sz w:val="24"/>
                <w:szCs w:val="24"/>
                <w:lang w:eastAsia="hu-HU"/>
              </w:rPr>
              <w:t> (nyugdíj szelvény/törzsszám, munkabér vagy bérjellegű járandóságról munkáltatói letét igazolás, határozat, levél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MVH regisztrációból adódó követelésre vonatkozó igazolás</w:t>
            </w:r>
            <w:r w:rsidRPr="002F25AB">
              <w:rPr>
                <w:rFonts w:ascii="Times New Roman" w:eastAsia="Times New Roman" w:hAnsi="Times New Roman" w:cs="Times New Roman"/>
                <w:color w:val="000000" w:themeColor="text1"/>
                <w:sz w:val="24"/>
                <w:szCs w:val="24"/>
                <w:lang w:eastAsia="hu-HU"/>
              </w:rPr>
              <w:t> (regisztrációs lap, támogatás igénylésére, megítélésére vonatkozó dokumentum, irat stb.) </w:t>
            </w:r>
            <w:r w:rsidRPr="002F25AB">
              <w:rPr>
                <w:rFonts w:ascii="Times New Roman" w:eastAsia="Times New Roman" w:hAnsi="Times New Roman" w:cs="Times New Roman"/>
                <w:b/>
                <w:bCs/>
                <w:color w:val="000000" w:themeColor="text1"/>
                <w:sz w:val="24"/>
                <w:szCs w:val="24"/>
                <w:lang w:eastAsia="hu-HU"/>
              </w:rPr>
              <w:t>másolata</w:t>
            </w: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961CE2" w:rsidRPr="002F25AB" w:rsidRDefault="00961CE2"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egyéb örökhagyó tulajdonában lévő ingóságról igazolás másolat.</w:t>
            </w:r>
          </w:p>
        </w:tc>
      </w:tr>
    </w:tbl>
    <w:p w:rsidR="00167A05" w:rsidRDefault="00167A05" w:rsidP="007D6446">
      <w:pPr>
        <w:rPr>
          <w:rFonts w:ascii="Times New Roman" w:hAnsi="Times New Roman" w:cs="Times New Roman"/>
          <w:b/>
          <w:bCs/>
          <w:color w:val="000000" w:themeColor="text1"/>
          <w:sz w:val="24"/>
          <w:szCs w:val="24"/>
        </w:rPr>
      </w:pPr>
    </w:p>
    <w:p w:rsidR="00983F8D" w:rsidRPr="002F25AB" w:rsidRDefault="00983F8D" w:rsidP="007D6446">
      <w:pPr>
        <w:rPr>
          <w:rFonts w:ascii="Times New Roman" w:hAnsi="Times New Roman" w:cs="Times New Roman"/>
          <w:b/>
          <w:bCs/>
          <w:color w:val="000000" w:themeColor="text1"/>
          <w:sz w:val="24"/>
          <w:szCs w:val="24"/>
        </w:rPr>
      </w:pPr>
      <w:bookmarkStart w:id="1" w:name="_GoBack"/>
      <w:bookmarkEnd w:id="1"/>
    </w:p>
    <w:p w:rsidR="007D6446" w:rsidRPr="002F25AB" w:rsidRDefault="00167A05" w:rsidP="000858AB">
      <w:pPr>
        <w:pStyle w:val="Listaszerbekezds"/>
        <w:numPr>
          <w:ilvl w:val="0"/>
          <w:numId w:val="1"/>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Európai öröklési bizonyítvány:</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Amennyiben a hagyatéki ügynek nemzetközi vonatkozása is van legfontosabb a joghatóság kérdésének megállapítása. Azt, hogy a konkrét hagyatéki ügyben magyar közjegyző eljárhat-e a nemzetközi magánjogról szóló 2017. évi XXVIII. törvény rendelkezései határozzák meg.</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 xml:space="preserve">A 650/2012/EU európai parlamenti és tanácsi rendelet (továbbiakban: Rendelet) joghatóság szabályai az </w:t>
            </w:r>
            <w:proofErr w:type="spellStart"/>
            <w:r w:rsidRPr="002F25AB">
              <w:rPr>
                <w:rFonts w:ascii="Times New Roman" w:eastAsia="Times New Roman" w:hAnsi="Times New Roman" w:cs="Times New Roman"/>
                <w:b/>
                <w:bCs/>
                <w:color w:val="000000" w:themeColor="text1"/>
                <w:sz w:val="24"/>
                <w:szCs w:val="24"/>
                <w:lang w:eastAsia="hu-HU"/>
              </w:rPr>
              <w:t>irányadóak</w:t>
            </w:r>
            <w:proofErr w:type="spellEnd"/>
            <w:r w:rsidRPr="002F25AB">
              <w:rPr>
                <w:rFonts w:ascii="Times New Roman" w:eastAsia="Times New Roman" w:hAnsi="Times New Roman" w:cs="Times New Roman"/>
                <w:b/>
                <w:bCs/>
                <w:color w:val="000000" w:themeColor="text1"/>
                <w:sz w:val="24"/>
                <w:szCs w:val="24"/>
                <w:lang w:eastAsia="hu-HU"/>
              </w:rPr>
              <w:t xml:space="preserve"> azonban az európai uniós tagállamban szokásos tartózkodási hellyel rendelkező örökhagyó utáni öröklésre, amennyiben az örökhagyó 2015. augusztus 17-én vagy azt követően hunyt el.</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Az öröklésre vonatkozó nemzetközi szabályok </w:t>
            </w:r>
            <w:r w:rsidR="000858AB" w:rsidRPr="002F25AB">
              <w:rPr>
                <w:rFonts w:ascii="Times New Roman" w:eastAsia="Times New Roman" w:hAnsi="Times New Roman" w:cs="Times New Roman"/>
                <w:color w:val="000000" w:themeColor="text1"/>
                <w:sz w:val="24"/>
                <w:szCs w:val="24"/>
                <w:lang w:eastAsia="hu-HU"/>
              </w:rPr>
              <w:t>tagállamomként</w:t>
            </w:r>
            <w:r w:rsidRPr="002F25AB">
              <w:rPr>
                <w:rFonts w:ascii="Times New Roman" w:eastAsia="Times New Roman" w:hAnsi="Times New Roman" w:cs="Times New Roman"/>
                <w:color w:val="000000" w:themeColor="text1"/>
                <w:sz w:val="24"/>
                <w:szCs w:val="24"/>
                <w:lang w:eastAsia="hu-HU"/>
              </w:rPr>
              <w:t xml:space="preserve"> jelentős mértékben eltérnek egymástól (pl. arra vonatkozóan kik és milyen arányban örökölnek az örökhagyó után, jár-e kötelesrész, mi számít kötelesrésznek stb.). </w:t>
            </w:r>
            <w:r w:rsidRPr="002F25AB">
              <w:rPr>
                <w:rFonts w:ascii="Times New Roman" w:eastAsia="Times New Roman" w:hAnsi="Times New Roman" w:cs="Times New Roman"/>
                <w:b/>
                <w:bCs/>
                <w:color w:val="000000" w:themeColor="text1"/>
                <w:sz w:val="24"/>
                <w:szCs w:val="24"/>
                <w:lang w:eastAsia="hu-HU"/>
              </w:rPr>
              <w:t>Az Európai Öröklési Rendelet természetesen nem „írja felül”, nem helyezi hatályon kívül az egyes tagállamok nemzeti Polgári Törvénykönyveiben vagy más jogszabályokban megtalálható öröklési jogszabályokat. Azt öröklés jog rendjét továbbra is nemzeti szinten szabályozzák. </w:t>
            </w:r>
            <w:r w:rsidRPr="002F25AB">
              <w:rPr>
                <w:rFonts w:ascii="Times New Roman" w:eastAsia="Times New Roman" w:hAnsi="Times New Roman" w:cs="Times New Roman"/>
                <w:color w:val="000000" w:themeColor="text1"/>
                <w:sz w:val="24"/>
                <w:szCs w:val="24"/>
                <w:lang w:eastAsia="hu-HU"/>
              </w:rPr>
              <w:t>Magyarországon ezt a Polgári Törvénykönyv határozza meg.</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Az Európai Öröklési Rendelet három fő kérdést szabályoz: a hagyatéki eljárást melyik uniós tagállamban lehet lefolytatni, az alkalmazandó jog meghatározását, és a tagállamok bíróságai, közjegyzői által meghozott határozatok (pl. hagyatékátadó végzés) tagállamok közötti, kölcsönös elismerését.</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167A05">
        <w:tc>
          <w:tcPr>
            <w:tcW w:w="0" w:type="auto"/>
            <w:shd w:val="clear" w:color="auto" w:fill="FFFFFF"/>
            <w:tcMar>
              <w:top w:w="15" w:type="dxa"/>
              <w:left w:w="30" w:type="dxa"/>
              <w:bottom w:w="0" w:type="dxa"/>
              <w:right w:w="0" w:type="dxa"/>
            </w:tcMar>
            <w:vAlign w:val="center"/>
            <w:hideMark/>
          </w:tcPr>
          <w:p w:rsidR="00167A05" w:rsidRPr="002F25AB" w:rsidRDefault="00167A05" w:rsidP="00167A05">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A joghatóság </w:t>
            </w:r>
            <w:r w:rsidRPr="002F25AB">
              <w:rPr>
                <w:rFonts w:ascii="Times New Roman" w:eastAsia="Times New Roman" w:hAnsi="Times New Roman" w:cs="Times New Roman"/>
                <w:color w:val="000000" w:themeColor="text1"/>
                <w:sz w:val="24"/>
                <w:szCs w:val="24"/>
                <w:lang w:eastAsia="hu-HU"/>
              </w:rPr>
              <w:t>(alkalmazandó jog és a hatóságok eljárási jogosultsága)</w:t>
            </w:r>
            <w:r w:rsidRPr="002F25AB">
              <w:rPr>
                <w:rFonts w:ascii="Times New Roman" w:eastAsia="Times New Roman" w:hAnsi="Times New Roman" w:cs="Times New Roman"/>
                <w:b/>
                <w:bCs/>
                <w:color w:val="000000" w:themeColor="text1"/>
                <w:sz w:val="24"/>
                <w:szCs w:val="24"/>
                <w:lang w:eastAsia="hu-HU"/>
              </w:rPr>
              <w:t> attól függ, hogy az örökhagyónak halálakor hol volt a szokásos tartózkodási helye, mégpedig tekintet nélkül arra, hogy az örökhagyónak mi volt az állampolgársága. Ennek az államnak az öröklési jogszabályai alapján kell rendezni az örökhagyó hagyatékának jogi sorsát.</w:t>
            </w:r>
            <w:r w:rsidRPr="002F25AB">
              <w:rPr>
                <w:rFonts w:ascii="Times New Roman" w:eastAsia="Times New Roman" w:hAnsi="Times New Roman" w:cs="Times New Roman"/>
                <w:color w:val="000000" w:themeColor="text1"/>
                <w:sz w:val="24"/>
                <w:szCs w:val="24"/>
                <w:lang w:eastAsia="hu-HU"/>
              </w:rPr>
              <w:t xml:space="preserve"> Az örökhagyó halálakor szokásos tartózkodási helye lényegében az a hely, ahol az örökhagyó életvitelének középpontja volt a halálát közvetlenül megelőző években, figyelembe véve olyan tényezőket, mint például az érintett államban való tartózkodás időtartama, gyakorisága, oka, indoka. Szokásos tartózkodási helynek csakis az a hely tekinthető, mely szoros és tartós kapcsolatot jelentett az örökhagyó és az érintett tagállam között (az, hogy az örökhagyónak az adott helyen volt bejelentett, </w:t>
            </w:r>
            <w:proofErr w:type="spellStart"/>
            <w:r w:rsidRPr="002F25AB">
              <w:rPr>
                <w:rFonts w:ascii="Times New Roman" w:eastAsia="Times New Roman" w:hAnsi="Times New Roman" w:cs="Times New Roman"/>
                <w:color w:val="000000" w:themeColor="text1"/>
                <w:sz w:val="24"/>
                <w:szCs w:val="24"/>
                <w:lang w:eastAsia="hu-HU"/>
              </w:rPr>
              <w:t>hatóságilag</w:t>
            </w:r>
            <w:proofErr w:type="spellEnd"/>
            <w:r w:rsidRPr="002F25AB">
              <w:rPr>
                <w:rFonts w:ascii="Times New Roman" w:eastAsia="Times New Roman" w:hAnsi="Times New Roman" w:cs="Times New Roman"/>
                <w:color w:val="000000" w:themeColor="text1"/>
                <w:sz w:val="24"/>
                <w:szCs w:val="24"/>
                <w:lang w:eastAsia="hu-HU"/>
              </w:rPr>
              <w:t xml:space="preserve"> nyilvántartott lakcíme nem feltétlenül jelenti azt, hogy az tekinthető szokásos tartózkodási helyének). </w:t>
            </w:r>
            <w:r w:rsidRPr="002F25AB">
              <w:rPr>
                <w:rFonts w:ascii="Times New Roman" w:eastAsia="Times New Roman" w:hAnsi="Times New Roman" w:cs="Times New Roman"/>
                <w:b/>
                <w:bCs/>
                <w:color w:val="000000" w:themeColor="text1"/>
                <w:sz w:val="24"/>
                <w:szCs w:val="24"/>
                <w:lang w:eastAsia="hu-HU"/>
              </w:rPr>
              <w:t>A hatóságoknak gondosan és körültekintően kell mérlegelniük, hogy melyik állam volt ez a hely.</w:t>
            </w:r>
          </w:p>
        </w:tc>
      </w:tr>
    </w:tbl>
    <w:p w:rsidR="007D6446" w:rsidRPr="002F25AB" w:rsidRDefault="007D6446" w:rsidP="007D6446">
      <w:pPr>
        <w:rPr>
          <w:rFonts w:ascii="Times New Roman" w:hAnsi="Times New Roman" w:cs="Times New Roman"/>
          <w:b/>
          <w:bCs/>
          <w:color w:val="000000" w:themeColor="text1"/>
          <w:sz w:val="24"/>
          <w:szCs w:val="24"/>
        </w:rPr>
      </w:pPr>
    </w:p>
    <w:p w:rsidR="002F25AB" w:rsidRPr="002F25AB" w:rsidRDefault="002F25AB" w:rsidP="007D6446">
      <w:pPr>
        <w:rPr>
          <w:rFonts w:ascii="Times New Roman" w:hAnsi="Times New Roman" w:cs="Times New Roman"/>
          <w:b/>
          <w:bCs/>
          <w:color w:val="000000" w:themeColor="text1"/>
          <w:sz w:val="24"/>
          <w:szCs w:val="24"/>
        </w:rPr>
      </w:pPr>
    </w:p>
    <w:p w:rsidR="002F25AB" w:rsidRPr="002F25AB" w:rsidRDefault="002F25AB" w:rsidP="007D6446">
      <w:pPr>
        <w:rPr>
          <w:rFonts w:ascii="Times New Roman" w:hAnsi="Times New Roman" w:cs="Times New Roman"/>
          <w:b/>
          <w:bCs/>
          <w:color w:val="000000" w:themeColor="text1"/>
          <w:sz w:val="24"/>
          <w:szCs w:val="24"/>
        </w:rPr>
      </w:pPr>
    </w:p>
    <w:p w:rsidR="002F25AB" w:rsidRPr="002F25AB" w:rsidRDefault="002F25AB" w:rsidP="007D6446">
      <w:pPr>
        <w:rPr>
          <w:rFonts w:ascii="Times New Roman" w:hAnsi="Times New Roman" w:cs="Times New Roman"/>
          <w:b/>
          <w:bCs/>
          <w:color w:val="000000" w:themeColor="text1"/>
          <w:sz w:val="24"/>
          <w:szCs w:val="24"/>
        </w:rPr>
      </w:pPr>
    </w:p>
    <w:p w:rsidR="002F25AB" w:rsidRPr="002F25AB" w:rsidRDefault="002F25AB" w:rsidP="007D6446">
      <w:pPr>
        <w:rPr>
          <w:rFonts w:ascii="Times New Roman" w:hAnsi="Times New Roman" w:cs="Times New Roman"/>
          <w:b/>
          <w:bCs/>
          <w:color w:val="000000" w:themeColor="text1"/>
          <w:sz w:val="24"/>
          <w:szCs w:val="24"/>
        </w:rPr>
      </w:pPr>
    </w:p>
    <w:p w:rsidR="006F3E08" w:rsidRPr="002F25AB" w:rsidRDefault="006F3E08" w:rsidP="006F3E08">
      <w:pPr>
        <w:rPr>
          <w:rStyle w:val="Kiemels2"/>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Alkalmazott jogszabályok:</w:t>
      </w:r>
    </w:p>
    <w:p w:rsidR="00563B02" w:rsidRPr="002F25AB" w:rsidRDefault="006F3E08" w:rsidP="007D6446">
      <w:pPr>
        <w:rPr>
          <w:rFonts w:ascii="Times New Roman" w:hAnsi="Times New Roman" w:cs="Times New Roman"/>
          <w:b/>
          <w:bCs/>
          <w:color w:val="000000" w:themeColor="text1"/>
          <w:sz w:val="24"/>
          <w:szCs w:val="24"/>
        </w:rPr>
      </w:pPr>
      <w:r w:rsidRPr="002F25AB">
        <w:rPr>
          <w:rStyle w:val="Kiemels2"/>
          <w:rFonts w:ascii="Times New Roman" w:hAnsi="Times New Roman" w:cs="Times New Roman"/>
          <w:color w:val="000000" w:themeColor="text1"/>
          <w:sz w:val="24"/>
          <w:szCs w:val="24"/>
          <w:shd w:val="clear" w:color="auto" w:fill="FFFFFF"/>
        </w:rPr>
        <w:t>További hasznos tudnivalókról</w:t>
      </w:r>
      <w:r w:rsidRPr="002F25AB">
        <w:rPr>
          <w:rFonts w:ascii="Times New Roman" w:hAnsi="Times New Roman" w:cs="Times New Roman"/>
          <w:color w:val="000000" w:themeColor="text1"/>
          <w:sz w:val="24"/>
          <w:szCs w:val="24"/>
          <w:shd w:val="clear" w:color="auto" w:fill="FFFFFF"/>
        </w:rPr>
        <w:t> (pl.: hagyatéki tartozások, hagyatéki hitelezői igény, ági öröklés, kötelesrész, örökbefogadással kapcsolatos öröklési jogi szabályok, eljárás megismétlése, közvetítői eljárás, osztályos és egyéb egyezségek, hagyatéki per, jogorvoslatok stb.) </w:t>
      </w:r>
      <w:r w:rsidRPr="002F25AB">
        <w:rPr>
          <w:rStyle w:val="Kiemels2"/>
          <w:rFonts w:ascii="Times New Roman" w:hAnsi="Times New Roman" w:cs="Times New Roman"/>
          <w:color w:val="000000" w:themeColor="text1"/>
          <w:sz w:val="24"/>
          <w:szCs w:val="24"/>
          <w:shd w:val="clear" w:color="auto" w:fill="FFFFFF"/>
        </w:rPr>
        <w:t>az alábbi jogszabályokból tájékozódhat:</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2010. évi XXXVIII. törvény a hagyatéki eljárásról</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29/2010. (XII. 31.) KIM rendelet a hagyatéki eljárás egyes cselekményeiről</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2013. évi V. törvény a Polgári Törvénykönyvről</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2016. évi CXXX. törvény a polgári perrendtartásról</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2016. évi CL. törvény az általános közigazgatási rendtartásról</w:t>
      </w:r>
    </w:p>
    <w:p w:rsidR="006F3E08" w:rsidRPr="002F25AB" w:rsidRDefault="006F3E08" w:rsidP="006F3E08">
      <w:pPr>
        <w:pStyle w:val="Listaszerbekezds"/>
        <w:numPr>
          <w:ilvl w:val="0"/>
          <w:numId w:val="8"/>
        </w:numPr>
        <w:rPr>
          <w:rStyle w:val="Kiemels2"/>
          <w:rFonts w:ascii="Times New Roman" w:hAnsi="Times New Roman" w:cs="Times New Roman"/>
          <w:b w:val="0"/>
          <w:bCs w:val="0"/>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2002. évi LV. törvény a közvetítői tevékenységről</w:t>
      </w:r>
    </w:p>
    <w:p w:rsidR="006F3E08" w:rsidRPr="002F25AB" w:rsidRDefault="006F3E08" w:rsidP="006F3E08">
      <w:pPr>
        <w:pStyle w:val="Listaszerbekezds"/>
        <w:numPr>
          <w:ilvl w:val="0"/>
          <w:numId w:val="8"/>
        </w:numPr>
        <w:rPr>
          <w:rStyle w:val="Kiemels2"/>
          <w:rFonts w:ascii="Times New Roman" w:hAnsi="Times New Roman" w:cs="Times New Roman"/>
          <w:color w:val="000000" w:themeColor="text1"/>
          <w:sz w:val="24"/>
          <w:szCs w:val="24"/>
        </w:rPr>
      </w:pPr>
      <w:r w:rsidRPr="002F25AB">
        <w:rPr>
          <w:rStyle w:val="Kiemels2"/>
          <w:rFonts w:ascii="Times New Roman" w:hAnsi="Times New Roman" w:cs="Times New Roman"/>
          <w:b w:val="0"/>
          <w:bCs w:val="0"/>
          <w:color w:val="000000" w:themeColor="text1"/>
          <w:sz w:val="24"/>
          <w:szCs w:val="24"/>
          <w:shd w:val="clear" w:color="auto" w:fill="FFFFFF"/>
        </w:rPr>
        <w:t>650/2012/EU európai parlamenti és tanácsi rendelet</w:t>
      </w:r>
    </w:p>
    <w:p w:rsidR="006F3E08" w:rsidRDefault="006F3E08" w:rsidP="00167A05">
      <w:pPr>
        <w:pStyle w:val="Listaszerbekezds"/>
        <w:numPr>
          <w:ilvl w:val="0"/>
          <w:numId w:val="8"/>
        </w:numPr>
        <w:rPr>
          <w:rFonts w:ascii="Times New Roman" w:hAnsi="Times New Roman" w:cs="Times New Roman"/>
          <w:b/>
          <w:bCs/>
          <w:color w:val="000000" w:themeColor="text1"/>
          <w:sz w:val="24"/>
          <w:szCs w:val="24"/>
        </w:rPr>
      </w:pPr>
      <w:r w:rsidRPr="002F25AB">
        <w:rPr>
          <w:rStyle w:val="Kiemels2"/>
          <w:rFonts w:ascii="Times New Roman" w:hAnsi="Times New Roman" w:cs="Times New Roman"/>
          <w:color w:val="000000" w:themeColor="text1"/>
          <w:sz w:val="24"/>
          <w:szCs w:val="24"/>
          <w:shd w:val="clear" w:color="auto" w:fill="FFFFFF"/>
        </w:rPr>
        <w:t>2015. évi CCXXII. tv. az elektronikus ügyintézés és bizalmi szolgáltatások általános szabályairól</w:t>
      </w:r>
      <w:r w:rsidRPr="002F25AB">
        <w:rPr>
          <w:rFonts w:ascii="Times New Roman" w:hAnsi="Times New Roman" w:cs="Times New Roman"/>
          <w:b/>
          <w:bCs/>
          <w:color w:val="000000" w:themeColor="text1"/>
          <w:sz w:val="24"/>
          <w:szCs w:val="24"/>
          <w:shd w:val="clear" w:color="auto" w:fill="FFFFFF"/>
        </w:rPr>
        <w:br/>
      </w: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Default="002F25AB" w:rsidP="002F25AB">
      <w:pPr>
        <w:rPr>
          <w:rFonts w:ascii="Times New Roman" w:hAnsi="Times New Roman" w:cs="Times New Roman"/>
          <w:b/>
          <w:bCs/>
          <w:color w:val="000000" w:themeColor="text1"/>
          <w:sz w:val="24"/>
          <w:szCs w:val="24"/>
        </w:rPr>
      </w:pPr>
    </w:p>
    <w:p w:rsidR="002F25AB" w:rsidRPr="002F25AB" w:rsidRDefault="002F25AB" w:rsidP="002F25AB">
      <w:pPr>
        <w:rPr>
          <w:rFonts w:ascii="Times New Roman" w:hAnsi="Times New Roman" w:cs="Times New Roman"/>
          <w:b/>
          <w:bCs/>
          <w:color w:val="000000" w:themeColor="text1"/>
          <w:sz w:val="24"/>
          <w:szCs w:val="24"/>
        </w:rPr>
      </w:pPr>
    </w:p>
    <w:p w:rsidR="00167A05" w:rsidRPr="002F25AB" w:rsidRDefault="00167A05" w:rsidP="006F3E08">
      <w:p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rPr>
        <w:t xml:space="preserve">Ügytípus megnevezése: </w:t>
      </w:r>
      <w:r w:rsidRPr="002F25AB">
        <w:rPr>
          <w:rFonts w:ascii="Times New Roman" w:hAnsi="Times New Roman" w:cs="Times New Roman"/>
          <w:b/>
          <w:bCs/>
          <w:color w:val="000000" w:themeColor="text1"/>
          <w:sz w:val="24"/>
          <w:szCs w:val="24"/>
        </w:rPr>
        <w:t>Talált dolgok tekintetében követendő eljárás</w:t>
      </w:r>
    </w:p>
    <w:p w:rsidR="006F3E08" w:rsidRPr="002F25AB" w:rsidRDefault="006F3E08" w:rsidP="006F3E08">
      <w:pPr>
        <w:rPr>
          <w:rFonts w:ascii="Times New Roman" w:hAnsi="Times New Roman" w:cs="Times New Roman"/>
          <w:b/>
          <w:bCs/>
          <w:color w:val="000000" w:themeColor="text1"/>
          <w:sz w:val="24"/>
          <w:szCs w:val="24"/>
        </w:rPr>
      </w:pPr>
    </w:p>
    <w:p w:rsidR="00167A05" w:rsidRPr="002F25AB" w:rsidRDefault="00167A05" w:rsidP="00167A05">
      <w:pPr>
        <w:pStyle w:val="Listaszerbekezds"/>
        <w:numPr>
          <w:ilvl w:val="0"/>
          <w:numId w:val="2"/>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 xml:space="preserve">Általános információk: </w:t>
      </w:r>
    </w:p>
    <w:tbl>
      <w:tblPr>
        <w:tblW w:w="9720" w:type="dxa"/>
        <w:shd w:val="clear" w:color="auto" w:fill="FFFFFF"/>
        <w:tblCellMar>
          <w:top w:w="15" w:type="dxa"/>
          <w:left w:w="15" w:type="dxa"/>
          <w:bottom w:w="15" w:type="dxa"/>
          <w:right w:w="15" w:type="dxa"/>
        </w:tblCellMar>
        <w:tblLook w:val="04A0" w:firstRow="1" w:lastRow="0" w:firstColumn="1" w:lastColumn="0" w:noHBand="0" w:noVBand="1"/>
      </w:tblPr>
      <w:tblGrid>
        <w:gridCol w:w="9720"/>
      </w:tblGrid>
      <w:tr w:rsidR="002F25AB" w:rsidRPr="002F25AB" w:rsidTr="005C1A21">
        <w:tc>
          <w:tcPr>
            <w:tcW w:w="0" w:type="auto"/>
            <w:shd w:val="clear" w:color="auto" w:fill="FFFFFF"/>
            <w:tcMar>
              <w:top w:w="15" w:type="dxa"/>
              <w:left w:w="30" w:type="dxa"/>
              <w:bottom w:w="0" w:type="dxa"/>
              <w:right w:w="0" w:type="dxa"/>
            </w:tcMar>
            <w:vAlign w:val="center"/>
            <w:hideMark/>
          </w:tcPr>
          <w:p w:rsidR="002C5B30" w:rsidRPr="002F25AB" w:rsidRDefault="002C5B30"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A találó köteles</w:t>
            </w:r>
            <w:r w:rsidRPr="002F25AB">
              <w:rPr>
                <w:rFonts w:ascii="Times New Roman" w:eastAsia="Times New Roman" w:hAnsi="Times New Roman" w:cs="Times New Roman"/>
                <w:color w:val="000000" w:themeColor="text1"/>
                <w:sz w:val="24"/>
                <w:szCs w:val="24"/>
                <w:lang w:eastAsia="hu-HU"/>
              </w:rPr>
              <w:t> a talált dolgot a találástól számított nyolc napon belül a dolog elvesztőjének, tulajdonosának, a dolog átvételre jogosult más személynek vagy a találás helye szerint illetékes jegyzőnek átadni. A találónak a talált dologra vonatkozó igénybejelentését az átadással egyidejűleg kell megtennie. </w:t>
            </w:r>
            <w:r w:rsidRPr="002F25AB">
              <w:rPr>
                <w:rFonts w:ascii="Times New Roman" w:eastAsia="Times New Roman" w:hAnsi="Times New Roman" w:cs="Times New Roman"/>
                <w:b/>
                <w:bCs/>
                <w:color w:val="000000" w:themeColor="text1"/>
                <w:sz w:val="24"/>
                <w:szCs w:val="24"/>
                <w:lang w:eastAsia="hu-HU"/>
              </w:rPr>
              <w:t>Ha az átadott dolog átvételére jogosult személye megállapítható</w:t>
            </w:r>
            <w:r w:rsidRPr="002F25AB">
              <w:rPr>
                <w:rFonts w:ascii="Times New Roman" w:eastAsia="Times New Roman" w:hAnsi="Times New Roman" w:cs="Times New Roman"/>
                <w:color w:val="000000" w:themeColor="text1"/>
                <w:sz w:val="24"/>
                <w:szCs w:val="24"/>
                <w:lang w:eastAsia="hu-HU"/>
              </w:rPr>
              <w:t>, a jegyző a dolgot késedelem nélkül átadja a jogosultnak. Ha az átvételre jogosult személye nem állapítható meg, a jegyző a dolgot az átadástól számított három hónapon át megőrzi. Ha ez idő alatt a jogosult nem jelentkezik, a dolgot- ha ennek tulajdonjogára az átadáskor igényt tartott- a találónak ki kell adni.</w:t>
            </w:r>
          </w:p>
          <w:p w:rsidR="002C5B30" w:rsidRPr="002F25AB" w:rsidRDefault="002C5B30" w:rsidP="005C1A21">
            <w:pPr>
              <w:spacing w:after="0" w:line="240" w:lineRule="auto"/>
              <w:rPr>
                <w:rFonts w:ascii="Times New Roman" w:eastAsia="Times New Roman" w:hAnsi="Times New Roman" w:cs="Times New Roman"/>
                <w:color w:val="000000" w:themeColor="text1"/>
                <w:sz w:val="24"/>
                <w:szCs w:val="24"/>
                <w:lang w:eastAsia="hu-HU"/>
              </w:rPr>
            </w:pPr>
          </w:p>
          <w:p w:rsidR="002C5B30" w:rsidRPr="002F25AB" w:rsidRDefault="002C5B30"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 xml:space="preserve">Ha a jogosult a dologért az átadástól </w:t>
            </w:r>
            <w:proofErr w:type="spellStart"/>
            <w:r w:rsidRPr="002F25AB">
              <w:rPr>
                <w:rFonts w:ascii="Times New Roman" w:eastAsia="Times New Roman" w:hAnsi="Times New Roman" w:cs="Times New Roman"/>
                <w:color w:val="000000" w:themeColor="text1"/>
                <w:sz w:val="24"/>
                <w:szCs w:val="24"/>
                <w:lang w:eastAsia="hu-HU"/>
              </w:rPr>
              <w:t>számítot</w:t>
            </w:r>
            <w:proofErr w:type="spellEnd"/>
            <w:r w:rsidRPr="002F25AB">
              <w:rPr>
                <w:rFonts w:ascii="Times New Roman" w:eastAsia="Times New Roman" w:hAnsi="Times New Roman" w:cs="Times New Roman"/>
                <w:color w:val="000000" w:themeColor="text1"/>
                <w:sz w:val="24"/>
                <w:szCs w:val="24"/>
                <w:lang w:eastAsia="hu-HU"/>
              </w:rPr>
              <w:t xml:space="preserve"> három hónap alatt nem jelentkezett, és a találó az átadáskor nem tartott igényt a dolog a tulajdonjogára, a jegyző a talált dolgot értékesíti. </w:t>
            </w:r>
          </w:p>
        </w:tc>
      </w:tr>
      <w:tr w:rsidR="002F25AB" w:rsidRPr="002F25AB" w:rsidTr="005C1A21">
        <w:tc>
          <w:tcPr>
            <w:tcW w:w="0" w:type="auto"/>
            <w:shd w:val="clear" w:color="auto" w:fill="FFFFFF"/>
            <w:tcMar>
              <w:top w:w="15" w:type="dxa"/>
              <w:left w:w="30" w:type="dxa"/>
              <w:bottom w:w="0" w:type="dxa"/>
              <w:right w:w="0" w:type="dxa"/>
            </w:tcMar>
            <w:vAlign w:val="center"/>
            <w:hideMark/>
          </w:tcPr>
          <w:p w:rsidR="002C5B30" w:rsidRPr="002F25AB" w:rsidRDefault="002C5B30"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color w:val="000000" w:themeColor="text1"/>
                <w:sz w:val="24"/>
                <w:szCs w:val="24"/>
                <w:lang w:eastAsia="hu-HU"/>
              </w:rPr>
              <w:t>.</w:t>
            </w:r>
          </w:p>
        </w:tc>
      </w:tr>
      <w:tr w:rsidR="002F25AB" w:rsidRPr="002F25AB" w:rsidTr="005C1A21">
        <w:tc>
          <w:tcPr>
            <w:tcW w:w="0" w:type="auto"/>
            <w:shd w:val="clear" w:color="auto" w:fill="FFFFFF"/>
            <w:tcMar>
              <w:top w:w="15" w:type="dxa"/>
              <w:left w:w="30" w:type="dxa"/>
              <w:bottom w:w="0" w:type="dxa"/>
              <w:right w:w="0" w:type="dxa"/>
            </w:tcMar>
            <w:vAlign w:val="center"/>
            <w:hideMark/>
          </w:tcPr>
          <w:p w:rsidR="002C5B30" w:rsidRPr="002F25AB" w:rsidRDefault="002C5B30" w:rsidP="005C1A21">
            <w:pPr>
              <w:spacing w:after="0" w:line="240" w:lineRule="auto"/>
              <w:rPr>
                <w:rFonts w:ascii="Times New Roman" w:eastAsia="Times New Roman" w:hAnsi="Times New Roman" w:cs="Times New Roman"/>
                <w:color w:val="000000" w:themeColor="text1"/>
                <w:sz w:val="24"/>
                <w:szCs w:val="24"/>
                <w:lang w:eastAsia="hu-HU"/>
              </w:rPr>
            </w:pPr>
            <w:r w:rsidRPr="002F25AB">
              <w:rPr>
                <w:rFonts w:ascii="Times New Roman" w:eastAsia="Times New Roman" w:hAnsi="Times New Roman" w:cs="Times New Roman"/>
                <w:b/>
                <w:bCs/>
                <w:color w:val="000000" w:themeColor="text1"/>
                <w:sz w:val="24"/>
                <w:szCs w:val="24"/>
                <w:lang w:eastAsia="hu-HU"/>
              </w:rPr>
              <w:t>Felhívjuk az átvételre jogosult</w:t>
            </w:r>
            <w:r w:rsidRPr="002F25AB">
              <w:rPr>
                <w:rFonts w:ascii="Times New Roman" w:eastAsia="Times New Roman" w:hAnsi="Times New Roman" w:cs="Times New Roman"/>
                <w:color w:val="000000" w:themeColor="text1"/>
                <w:sz w:val="24"/>
                <w:szCs w:val="24"/>
                <w:lang w:eastAsia="hu-HU"/>
              </w:rPr>
              <w:t> (tulajdonos, bérlő, használó) </w:t>
            </w:r>
            <w:r w:rsidRPr="002F25AB">
              <w:rPr>
                <w:rFonts w:ascii="Times New Roman" w:eastAsia="Times New Roman" w:hAnsi="Times New Roman" w:cs="Times New Roman"/>
                <w:b/>
                <w:bCs/>
                <w:color w:val="000000" w:themeColor="text1"/>
                <w:sz w:val="24"/>
                <w:szCs w:val="24"/>
                <w:lang w:eastAsia="hu-HU"/>
              </w:rPr>
              <w:t>figyelmét arra, hogy a talált tárgy feletti rendelkezési jogot</w:t>
            </w:r>
            <w:r w:rsidRPr="002F25AB">
              <w:rPr>
                <w:rFonts w:ascii="Times New Roman" w:eastAsia="Times New Roman" w:hAnsi="Times New Roman" w:cs="Times New Roman"/>
                <w:color w:val="000000" w:themeColor="text1"/>
                <w:sz w:val="24"/>
                <w:szCs w:val="24"/>
                <w:lang w:eastAsia="hu-HU"/>
              </w:rPr>
              <w:t> (tulajdonjog, bérleti jog, használati jog) </w:t>
            </w:r>
            <w:r w:rsidRPr="002F25AB">
              <w:rPr>
                <w:rFonts w:ascii="Times New Roman" w:eastAsia="Times New Roman" w:hAnsi="Times New Roman" w:cs="Times New Roman"/>
                <w:b/>
                <w:bCs/>
                <w:color w:val="000000" w:themeColor="text1"/>
                <w:sz w:val="24"/>
                <w:szCs w:val="24"/>
                <w:lang w:eastAsia="hu-HU"/>
              </w:rPr>
              <w:t>hitelt érdemlően igazolnia kell</w:t>
            </w:r>
            <w:r w:rsidRPr="002F25AB">
              <w:rPr>
                <w:rFonts w:ascii="Times New Roman" w:eastAsia="Times New Roman" w:hAnsi="Times New Roman" w:cs="Times New Roman"/>
                <w:color w:val="000000" w:themeColor="text1"/>
                <w:sz w:val="24"/>
                <w:szCs w:val="24"/>
                <w:lang w:eastAsia="hu-HU"/>
              </w:rPr>
              <w:t> (például okmánnyal, irattal, egyéb bizonyítási eszközzel, pontos leírással), </w:t>
            </w:r>
            <w:r w:rsidRPr="002F25AB">
              <w:rPr>
                <w:rFonts w:ascii="Times New Roman" w:eastAsia="Times New Roman" w:hAnsi="Times New Roman" w:cs="Times New Roman"/>
                <w:b/>
                <w:bCs/>
                <w:color w:val="000000" w:themeColor="text1"/>
                <w:sz w:val="24"/>
                <w:szCs w:val="24"/>
                <w:lang w:eastAsia="hu-HU"/>
              </w:rPr>
              <w:t>és csak ennek vizsgálatát követően kerülhet kiadásra a tárgy, egy átadási-átvételi jegyzőkönyv felvétele mellett.</w:t>
            </w:r>
          </w:p>
        </w:tc>
      </w:tr>
    </w:tbl>
    <w:p w:rsidR="006F3E08" w:rsidRPr="002F25AB" w:rsidRDefault="006F3E08" w:rsidP="002C5B30">
      <w:pPr>
        <w:ind w:left="360"/>
        <w:rPr>
          <w:rFonts w:ascii="Times New Roman" w:hAnsi="Times New Roman" w:cs="Times New Roman"/>
          <w:b/>
          <w:bCs/>
          <w:color w:val="000000" w:themeColor="text1"/>
          <w:sz w:val="24"/>
          <w:szCs w:val="24"/>
        </w:rPr>
      </w:pPr>
    </w:p>
    <w:p w:rsidR="002C5B30" w:rsidRPr="002F25AB" w:rsidRDefault="002C5B30" w:rsidP="00167A05">
      <w:pPr>
        <w:pStyle w:val="Listaszerbekezds"/>
        <w:numPr>
          <w:ilvl w:val="0"/>
          <w:numId w:val="2"/>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 xml:space="preserve">Illetékesség: </w:t>
      </w:r>
    </w:p>
    <w:p w:rsidR="002C5B30" w:rsidRPr="002F25AB" w:rsidRDefault="002C5B30" w:rsidP="002C5B30">
      <w:p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 találás helye szerinti települési önkormányzat jegyzője.</w:t>
      </w:r>
    </w:p>
    <w:p w:rsidR="002C5B30" w:rsidRPr="002F25AB" w:rsidRDefault="002C5B30" w:rsidP="002C5B30">
      <w:pPr>
        <w:ind w:left="360"/>
        <w:rPr>
          <w:rFonts w:ascii="Times New Roman" w:hAnsi="Times New Roman" w:cs="Times New Roman"/>
          <w:b/>
          <w:bCs/>
          <w:color w:val="000000" w:themeColor="text1"/>
          <w:sz w:val="24"/>
          <w:szCs w:val="24"/>
        </w:rPr>
      </w:pPr>
    </w:p>
    <w:p w:rsidR="002C5B30" w:rsidRPr="002F25AB" w:rsidRDefault="002C5B30" w:rsidP="002C5B30">
      <w:pPr>
        <w:pStyle w:val="Listaszerbekezds"/>
        <w:numPr>
          <w:ilvl w:val="0"/>
          <w:numId w:val="2"/>
        </w:numPr>
        <w:rPr>
          <w:rFonts w:ascii="Times New Roman" w:hAnsi="Times New Roman" w:cs="Times New Roman"/>
          <w:b/>
          <w:bCs/>
          <w:color w:val="000000" w:themeColor="text1"/>
          <w:sz w:val="24"/>
          <w:szCs w:val="24"/>
        </w:rPr>
      </w:pPr>
      <w:r w:rsidRPr="002F25AB">
        <w:rPr>
          <w:rFonts w:ascii="Times New Roman" w:hAnsi="Times New Roman" w:cs="Times New Roman"/>
          <w:b/>
          <w:bCs/>
          <w:color w:val="000000" w:themeColor="text1"/>
          <w:sz w:val="24"/>
          <w:szCs w:val="24"/>
        </w:rPr>
        <w:t xml:space="preserve">Eljárás Illetéke: </w:t>
      </w:r>
      <w:r w:rsidRPr="002F25AB">
        <w:rPr>
          <w:rFonts w:ascii="Times New Roman" w:hAnsi="Times New Roman" w:cs="Times New Roman"/>
          <w:color w:val="000000" w:themeColor="text1"/>
          <w:sz w:val="24"/>
          <w:szCs w:val="24"/>
        </w:rPr>
        <w:t>Illetékmentes eljárás</w:t>
      </w:r>
    </w:p>
    <w:p w:rsidR="002330A7" w:rsidRPr="002F25AB" w:rsidRDefault="002330A7" w:rsidP="002330A7">
      <w:pPr>
        <w:rPr>
          <w:rFonts w:ascii="Times New Roman" w:hAnsi="Times New Roman" w:cs="Times New Roman"/>
          <w:b/>
          <w:bCs/>
          <w:color w:val="000000" w:themeColor="text1"/>
          <w:sz w:val="24"/>
          <w:szCs w:val="24"/>
        </w:rPr>
      </w:pPr>
    </w:p>
    <w:p w:rsidR="002330A7" w:rsidRPr="002F25AB" w:rsidRDefault="002330A7" w:rsidP="002330A7">
      <w:pPr>
        <w:rPr>
          <w:rStyle w:val="Kiemels2"/>
          <w:rFonts w:ascii="Times New Roman" w:hAnsi="Times New Roman" w:cs="Times New Roman"/>
          <w:color w:val="000000" w:themeColor="text1"/>
          <w:sz w:val="24"/>
          <w:szCs w:val="24"/>
          <w:shd w:val="clear" w:color="auto" w:fill="FFFFFF"/>
        </w:rPr>
      </w:pPr>
      <w:r w:rsidRPr="002F25AB">
        <w:rPr>
          <w:rStyle w:val="Kiemels2"/>
          <w:rFonts w:ascii="Times New Roman" w:hAnsi="Times New Roman" w:cs="Times New Roman"/>
          <w:color w:val="000000" w:themeColor="text1"/>
          <w:sz w:val="24"/>
          <w:szCs w:val="24"/>
          <w:shd w:val="clear" w:color="auto" w:fill="FFFFFF"/>
        </w:rPr>
        <w:t>Alkalmazott jogszabályok:</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 Polgári Törvénykönyvről szóló 2013. évi V. törvény 5:54-5:64. §</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az illetékekről szóló 1990. évi XCIII. törvény 33. § (2) bekezdés 3. pont</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 polgárok személyi adatainak és lakcímének nyilvántartásáról szóló 1992. évi LXVI. törvény 29. § (12) bekezdés</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az általános közigazgatási rendtartásról szóló 2016. évi CL. törvény 15. § (2) bekezdés, 36. § (1) bekezdés, 121. § (1) bekezdés a) pont</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az elektronikus ügyintézés és a bizalmi szolgáltatások általános szabályairól szóló 2015. évi CCXXII. törvény 60. §</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Magyarország helyi önkormányzatairól szóló 2011. évi CLXXXIX. törvény 132. § (1) bekezdés i) pont, 132. § (2) bekezdés</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 körözési nyilvántartási rendszerről és a személyek, dolgok felkutatásáról és azonosításáról szóló 2013. évi LXXXVIII. törvény</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lastRenderedPageBreak/>
        <w:t>az információs önrendelkezési jogról és az információszabadságról szóló 2011. évi CXII. törvény</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18/2017. (XII. 15.) IM rendelet a hatósági letétről, valamint a közigazgatási hatósági eljárássorán zár alá vett vagy lefoglalt dolgok tárolásáról és értékesítéséről</w:t>
      </w:r>
    </w:p>
    <w:p w:rsidR="002330A7" w:rsidRPr="002F25AB" w:rsidRDefault="002330A7" w:rsidP="002330A7">
      <w:pPr>
        <w:pStyle w:val="Listaszerbekezds"/>
        <w:numPr>
          <w:ilvl w:val="0"/>
          <w:numId w:val="5"/>
        </w:numPr>
        <w:rPr>
          <w:rFonts w:ascii="Times New Roman" w:hAnsi="Times New Roman" w:cs="Times New Roman"/>
          <w:b/>
          <w:bCs/>
          <w:color w:val="000000" w:themeColor="text1"/>
          <w:sz w:val="24"/>
          <w:szCs w:val="24"/>
        </w:rPr>
      </w:pPr>
      <w:r w:rsidRPr="002F25AB">
        <w:rPr>
          <w:rFonts w:ascii="Times New Roman" w:hAnsi="Times New Roman" w:cs="Times New Roman"/>
          <w:color w:val="000000" w:themeColor="text1"/>
          <w:sz w:val="24"/>
          <w:szCs w:val="24"/>
          <w:shd w:val="clear" w:color="auto" w:fill="FFFFFF"/>
        </w:rPr>
        <w:t>a személyazonosító igazolvány kiadásáról és az egységes arcképmás- és aláírás-felvételezés szabályairól szóló 414/2015. (XII. 23.) Korm. rendelet</w:t>
      </w:r>
    </w:p>
    <w:p w:rsidR="006F3E08" w:rsidRPr="002F25AB" w:rsidRDefault="006F3E08" w:rsidP="006F3E08">
      <w:pPr>
        <w:pStyle w:val="Listaszerbekezds"/>
        <w:rPr>
          <w:rFonts w:ascii="Times New Roman" w:hAnsi="Times New Roman" w:cs="Times New Roman"/>
          <w:b/>
          <w:bCs/>
          <w:color w:val="000000" w:themeColor="text1"/>
          <w:sz w:val="24"/>
          <w:szCs w:val="24"/>
        </w:rPr>
      </w:pPr>
    </w:p>
    <w:p w:rsidR="002330A7" w:rsidRPr="002F25AB" w:rsidRDefault="002330A7" w:rsidP="002330A7">
      <w:pPr>
        <w:spacing w:before="100" w:beforeAutospacing="1" w:after="100" w:afterAutospacing="1" w:line="240" w:lineRule="auto"/>
        <w:rPr>
          <w:rFonts w:ascii="Times New Roman" w:eastAsia="Calibri" w:hAnsi="Times New Roman" w:cs="Times New Roman"/>
          <w:b/>
          <w:bCs/>
          <w:color w:val="000000" w:themeColor="text1"/>
          <w:sz w:val="24"/>
          <w:szCs w:val="24"/>
          <w:lang w:eastAsia="hu-HU"/>
        </w:rPr>
      </w:pPr>
      <w:r w:rsidRPr="002F25AB">
        <w:rPr>
          <w:rFonts w:ascii="Times New Roman" w:eastAsia="Calibri" w:hAnsi="Times New Roman" w:cs="Times New Roman"/>
          <w:b/>
          <w:bCs/>
          <w:color w:val="000000" w:themeColor="text1"/>
          <w:sz w:val="24"/>
          <w:szCs w:val="24"/>
          <w:lang w:eastAsia="hu-HU"/>
        </w:rPr>
        <w:t>Zalaszentgróti Közös Önkormányzati Hivatala</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b/>
          <w:bCs/>
          <w:color w:val="000000" w:themeColor="text1"/>
          <w:sz w:val="24"/>
          <w:szCs w:val="24"/>
          <w:lang w:eastAsia="hu-HU"/>
        </w:rPr>
        <w:t>Címe:</w:t>
      </w:r>
      <w:r w:rsidRPr="002F25AB">
        <w:rPr>
          <w:rFonts w:ascii="Times New Roman" w:eastAsia="Calibri" w:hAnsi="Times New Roman" w:cs="Times New Roman"/>
          <w:color w:val="000000" w:themeColor="text1"/>
          <w:sz w:val="24"/>
          <w:szCs w:val="24"/>
          <w:lang w:eastAsia="hu-HU"/>
        </w:rPr>
        <w:t xml:space="preserve"> 8790 Zalaszentgrót, Dózsa </w:t>
      </w:r>
      <w:proofErr w:type="spellStart"/>
      <w:r w:rsidRPr="002F25AB">
        <w:rPr>
          <w:rFonts w:ascii="Times New Roman" w:eastAsia="Calibri" w:hAnsi="Times New Roman" w:cs="Times New Roman"/>
          <w:color w:val="000000" w:themeColor="text1"/>
          <w:sz w:val="24"/>
          <w:szCs w:val="24"/>
          <w:lang w:eastAsia="hu-HU"/>
        </w:rPr>
        <w:t>Gy</w:t>
      </w:r>
      <w:proofErr w:type="spellEnd"/>
      <w:r w:rsidRPr="002F25AB">
        <w:rPr>
          <w:rFonts w:ascii="Times New Roman" w:eastAsia="Calibri" w:hAnsi="Times New Roman" w:cs="Times New Roman"/>
          <w:color w:val="000000" w:themeColor="text1"/>
          <w:sz w:val="24"/>
          <w:szCs w:val="24"/>
          <w:lang w:eastAsia="hu-HU"/>
        </w:rPr>
        <w:t xml:space="preserve">. u. 1. </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b/>
          <w:bCs/>
          <w:color w:val="000000" w:themeColor="text1"/>
          <w:sz w:val="24"/>
          <w:szCs w:val="24"/>
          <w:lang w:eastAsia="hu-HU"/>
        </w:rPr>
        <w:t>Ügyfélfogadási időpontok</w:t>
      </w:r>
      <w:r w:rsidRPr="002F25AB">
        <w:rPr>
          <w:rFonts w:ascii="Times New Roman" w:eastAsia="Calibri" w:hAnsi="Times New Roman" w:cs="Times New Roman"/>
          <w:color w:val="000000" w:themeColor="text1"/>
          <w:sz w:val="24"/>
          <w:szCs w:val="24"/>
          <w:lang w:eastAsia="hu-HU"/>
        </w:rPr>
        <w:t xml:space="preserve">: </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hétfő: 8:00-12:00, 13:00-15:00</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Kedd: 8:00-12:00</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Szerda: nincs ügyfélfogadás</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Csütörtök: 8:00-12:00, 13:00-15:00</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Péntek: 8:00-12:00</w:t>
      </w:r>
      <w:r w:rsidRPr="002F25AB">
        <w:rPr>
          <w:rFonts w:ascii="Times New Roman" w:eastAsia="Calibri" w:hAnsi="Times New Roman" w:cs="Times New Roman"/>
          <w:color w:val="000000" w:themeColor="text1"/>
          <w:sz w:val="24"/>
          <w:szCs w:val="24"/>
          <w:lang w:eastAsia="hu-HU"/>
        </w:rPr>
        <w:br/>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b/>
          <w:bCs/>
          <w:color w:val="000000" w:themeColor="text1"/>
          <w:sz w:val="24"/>
          <w:szCs w:val="24"/>
          <w:lang w:eastAsia="hu-HU"/>
        </w:rPr>
        <w:t>Ügyintéző:</w:t>
      </w:r>
      <w:r w:rsidRPr="002F25AB">
        <w:rPr>
          <w:rFonts w:ascii="Times New Roman" w:eastAsia="Calibri" w:hAnsi="Times New Roman" w:cs="Times New Roman"/>
          <w:color w:val="000000" w:themeColor="text1"/>
          <w:sz w:val="24"/>
          <w:szCs w:val="24"/>
          <w:lang w:eastAsia="hu-HU"/>
        </w:rPr>
        <w:t xml:space="preserve"> </w:t>
      </w:r>
      <w:proofErr w:type="spellStart"/>
      <w:r w:rsidRPr="002F25AB">
        <w:rPr>
          <w:rFonts w:ascii="Times New Roman" w:eastAsia="Calibri" w:hAnsi="Times New Roman" w:cs="Times New Roman"/>
          <w:color w:val="000000" w:themeColor="text1"/>
          <w:sz w:val="24"/>
          <w:szCs w:val="24"/>
          <w:lang w:eastAsia="hu-HU"/>
        </w:rPr>
        <w:t>Gángó</w:t>
      </w:r>
      <w:proofErr w:type="spellEnd"/>
      <w:r w:rsidRPr="002F25AB">
        <w:rPr>
          <w:rFonts w:ascii="Times New Roman" w:eastAsia="Calibri" w:hAnsi="Times New Roman" w:cs="Times New Roman"/>
          <w:color w:val="000000" w:themeColor="text1"/>
          <w:sz w:val="24"/>
          <w:szCs w:val="24"/>
          <w:lang w:eastAsia="hu-HU"/>
        </w:rPr>
        <w:t>-Kató Edina (Zalaszentgrót, Tekenye) Tel.06-83/562-968</w:t>
      </w:r>
    </w:p>
    <w:p w:rsidR="002330A7" w:rsidRPr="002F25AB" w:rsidRDefault="002330A7" w:rsidP="002330A7">
      <w:pPr>
        <w:spacing w:before="100" w:beforeAutospacing="1" w:after="100" w:afterAutospacing="1" w:line="240" w:lineRule="auto"/>
        <w:rPr>
          <w:rFonts w:ascii="Times New Roman" w:eastAsia="Calibri" w:hAnsi="Times New Roman" w:cs="Times New Roman"/>
          <w:color w:val="000000" w:themeColor="text1"/>
          <w:sz w:val="24"/>
          <w:szCs w:val="24"/>
          <w:lang w:eastAsia="hu-HU"/>
        </w:rPr>
      </w:pPr>
      <w:r w:rsidRPr="002F25AB">
        <w:rPr>
          <w:rFonts w:ascii="Times New Roman" w:eastAsia="Calibri" w:hAnsi="Times New Roman" w:cs="Times New Roman"/>
          <w:color w:val="000000" w:themeColor="text1"/>
          <w:sz w:val="24"/>
          <w:szCs w:val="24"/>
          <w:lang w:eastAsia="hu-HU"/>
        </w:rPr>
        <w:t xml:space="preserve">                   </w:t>
      </w:r>
      <w:proofErr w:type="spellStart"/>
      <w:r w:rsidRPr="002F25AB">
        <w:rPr>
          <w:rFonts w:ascii="Times New Roman" w:eastAsia="Calibri" w:hAnsi="Times New Roman" w:cs="Times New Roman"/>
          <w:color w:val="000000" w:themeColor="text1"/>
          <w:sz w:val="24"/>
          <w:szCs w:val="24"/>
          <w:lang w:eastAsia="hu-HU"/>
        </w:rPr>
        <w:t>Csóti</w:t>
      </w:r>
      <w:proofErr w:type="spellEnd"/>
      <w:r w:rsidRPr="002F25AB">
        <w:rPr>
          <w:rFonts w:ascii="Times New Roman" w:eastAsia="Calibri" w:hAnsi="Times New Roman" w:cs="Times New Roman"/>
          <w:color w:val="000000" w:themeColor="text1"/>
          <w:sz w:val="24"/>
          <w:szCs w:val="24"/>
          <w:lang w:eastAsia="hu-HU"/>
        </w:rPr>
        <w:t xml:space="preserve"> Zsuzsanna (Zalavég) Tel.: 06-83/562-978</w:t>
      </w:r>
    </w:p>
    <w:p w:rsidR="00167A05" w:rsidRPr="002F25AB" w:rsidRDefault="00167A05" w:rsidP="0047715E">
      <w:pPr>
        <w:pStyle w:val="Listaszerbekezds"/>
        <w:rPr>
          <w:rFonts w:ascii="Times New Roman" w:hAnsi="Times New Roman" w:cs="Times New Roman"/>
          <w:color w:val="000000" w:themeColor="text1"/>
          <w:sz w:val="24"/>
          <w:szCs w:val="24"/>
        </w:rPr>
      </w:pPr>
    </w:p>
    <w:sectPr w:rsidR="00167A05" w:rsidRPr="002F25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077A1"/>
    <w:multiLevelType w:val="hybridMultilevel"/>
    <w:tmpl w:val="45CE6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E8762D8"/>
    <w:multiLevelType w:val="hybridMultilevel"/>
    <w:tmpl w:val="8FBA49BC"/>
    <w:lvl w:ilvl="0" w:tplc="040E000F">
      <w:start w:val="1"/>
      <w:numFmt w:val="decimal"/>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14363C"/>
    <w:multiLevelType w:val="hybridMultilevel"/>
    <w:tmpl w:val="A07415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6D731AF"/>
    <w:multiLevelType w:val="hybridMultilevel"/>
    <w:tmpl w:val="93686C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482823"/>
    <w:multiLevelType w:val="hybridMultilevel"/>
    <w:tmpl w:val="DDF0FEB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56011BC1"/>
    <w:multiLevelType w:val="hybridMultilevel"/>
    <w:tmpl w:val="E73451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9BB7F4B"/>
    <w:multiLevelType w:val="hybridMultilevel"/>
    <w:tmpl w:val="6338F224"/>
    <w:lvl w:ilvl="0" w:tplc="040E000F">
      <w:start w:val="1"/>
      <w:numFmt w:val="decimal"/>
      <w:lvlText w:val="%1."/>
      <w:lvlJc w:val="left"/>
      <w:pPr>
        <w:ind w:left="785"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EAE52CA"/>
    <w:multiLevelType w:val="hybridMultilevel"/>
    <w:tmpl w:val="19704144"/>
    <w:lvl w:ilvl="0" w:tplc="29F61A60">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1"/>
  </w:num>
  <w:num w:numId="5">
    <w:abstractNumId w:val="5"/>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B5A"/>
    <w:rsid w:val="000858AB"/>
    <w:rsid w:val="00151B5A"/>
    <w:rsid w:val="00167A05"/>
    <w:rsid w:val="002330A7"/>
    <w:rsid w:val="002C5B30"/>
    <w:rsid w:val="002F25AB"/>
    <w:rsid w:val="0047715E"/>
    <w:rsid w:val="00563B02"/>
    <w:rsid w:val="006F3E08"/>
    <w:rsid w:val="007D6446"/>
    <w:rsid w:val="00961CE2"/>
    <w:rsid w:val="00983F8D"/>
    <w:rsid w:val="00BE14B0"/>
    <w:rsid w:val="00D26C1F"/>
    <w:rsid w:val="00F817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D0B6"/>
  <w15:chartTrackingRefBased/>
  <w15:docId w15:val="{1972211B-CAD8-4521-83A7-946BD82B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7715E"/>
    <w:pPr>
      <w:ind w:left="720"/>
      <w:contextualSpacing/>
    </w:pPr>
  </w:style>
  <w:style w:type="character" w:styleId="Kiemels2">
    <w:name w:val="Strong"/>
    <w:basedOn w:val="Bekezdsalapbettpusa"/>
    <w:uiPriority w:val="22"/>
    <w:qFormat/>
    <w:rsid w:val="004771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68007">
      <w:bodyDiv w:val="1"/>
      <w:marLeft w:val="0"/>
      <w:marRight w:val="0"/>
      <w:marTop w:val="0"/>
      <w:marBottom w:val="0"/>
      <w:divBdr>
        <w:top w:val="none" w:sz="0" w:space="0" w:color="auto"/>
        <w:left w:val="none" w:sz="0" w:space="0" w:color="auto"/>
        <w:bottom w:val="none" w:sz="0" w:space="0" w:color="auto"/>
        <w:right w:val="none" w:sz="0" w:space="0" w:color="auto"/>
      </w:divBdr>
    </w:div>
    <w:div w:id="129246469">
      <w:bodyDiv w:val="1"/>
      <w:marLeft w:val="0"/>
      <w:marRight w:val="0"/>
      <w:marTop w:val="0"/>
      <w:marBottom w:val="0"/>
      <w:divBdr>
        <w:top w:val="none" w:sz="0" w:space="0" w:color="auto"/>
        <w:left w:val="none" w:sz="0" w:space="0" w:color="auto"/>
        <w:bottom w:val="none" w:sz="0" w:space="0" w:color="auto"/>
        <w:right w:val="none" w:sz="0" w:space="0" w:color="auto"/>
      </w:divBdr>
    </w:div>
    <w:div w:id="739257139">
      <w:bodyDiv w:val="1"/>
      <w:marLeft w:val="0"/>
      <w:marRight w:val="0"/>
      <w:marTop w:val="0"/>
      <w:marBottom w:val="0"/>
      <w:divBdr>
        <w:top w:val="none" w:sz="0" w:space="0" w:color="auto"/>
        <w:left w:val="none" w:sz="0" w:space="0" w:color="auto"/>
        <w:bottom w:val="none" w:sz="0" w:space="0" w:color="auto"/>
        <w:right w:val="none" w:sz="0" w:space="0" w:color="auto"/>
      </w:divBdr>
    </w:div>
    <w:div w:id="801727668">
      <w:bodyDiv w:val="1"/>
      <w:marLeft w:val="0"/>
      <w:marRight w:val="0"/>
      <w:marTop w:val="0"/>
      <w:marBottom w:val="0"/>
      <w:divBdr>
        <w:top w:val="none" w:sz="0" w:space="0" w:color="auto"/>
        <w:left w:val="none" w:sz="0" w:space="0" w:color="auto"/>
        <w:bottom w:val="none" w:sz="0" w:space="0" w:color="auto"/>
        <w:right w:val="none" w:sz="0" w:space="0" w:color="auto"/>
      </w:divBdr>
    </w:div>
    <w:div w:id="1042561620">
      <w:bodyDiv w:val="1"/>
      <w:marLeft w:val="0"/>
      <w:marRight w:val="0"/>
      <w:marTop w:val="0"/>
      <w:marBottom w:val="0"/>
      <w:divBdr>
        <w:top w:val="none" w:sz="0" w:space="0" w:color="auto"/>
        <w:left w:val="none" w:sz="0" w:space="0" w:color="auto"/>
        <w:bottom w:val="none" w:sz="0" w:space="0" w:color="auto"/>
        <w:right w:val="none" w:sz="0" w:space="0" w:color="auto"/>
      </w:divBdr>
    </w:div>
    <w:div w:id="1617247065">
      <w:bodyDiv w:val="1"/>
      <w:marLeft w:val="0"/>
      <w:marRight w:val="0"/>
      <w:marTop w:val="0"/>
      <w:marBottom w:val="0"/>
      <w:divBdr>
        <w:top w:val="none" w:sz="0" w:space="0" w:color="auto"/>
        <w:left w:val="none" w:sz="0" w:space="0" w:color="auto"/>
        <w:bottom w:val="none" w:sz="0" w:space="0" w:color="auto"/>
        <w:right w:val="none" w:sz="0" w:space="0" w:color="auto"/>
      </w:divBdr>
    </w:div>
    <w:div w:id="1688285684">
      <w:bodyDiv w:val="1"/>
      <w:marLeft w:val="0"/>
      <w:marRight w:val="0"/>
      <w:marTop w:val="0"/>
      <w:marBottom w:val="0"/>
      <w:divBdr>
        <w:top w:val="none" w:sz="0" w:space="0" w:color="auto"/>
        <w:left w:val="none" w:sz="0" w:space="0" w:color="auto"/>
        <w:bottom w:val="none" w:sz="0" w:space="0" w:color="auto"/>
        <w:right w:val="none" w:sz="0" w:space="0" w:color="auto"/>
      </w:divBdr>
    </w:div>
    <w:div w:id="1812403670">
      <w:bodyDiv w:val="1"/>
      <w:marLeft w:val="0"/>
      <w:marRight w:val="0"/>
      <w:marTop w:val="0"/>
      <w:marBottom w:val="0"/>
      <w:divBdr>
        <w:top w:val="none" w:sz="0" w:space="0" w:color="auto"/>
        <w:left w:val="none" w:sz="0" w:space="0" w:color="auto"/>
        <w:bottom w:val="none" w:sz="0" w:space="0" w:color="auto"/>
        <w:right w:val="none" w:sz="0" w:space="0" w:color="auto"/>
      </w:divBdr>
    </w:div>
    <w:div w:id="207087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1976</Words>
  <Characters>13641</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Dell9</dc:creator>
  <cp:keywords/>
  <dc:description/>
  <cp:lastModifiedBy>Dell9</cp:lastModifiedBy>
  <cp:revision>8</cp:revision>
  <cp:lastPrinted>2020-06-04T14:34:00Z</cp:lastPrinted>
  <dcterms:created xsi:type="dcterms:W3CDTF">2020-06-04T09:08:00Z</dcterms:created>
  <dcterms:modified xsi:type="dcterms:W3CDTF">2020-06-05T06:05:00Z</dcterms:modified>
</cp:coreProperties>
</file>