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B1" w:rsidRPr="00A62397" w:rsidRDefault="002508B1" w:rsidP="007840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2397">
        <w:rPr>
          <w:rFonts w:ascii="Times New Roman" w:hAnsi="Times New Roman" w:cs="Times New Roman"/>
          <w:sz w:val="24"/>
          <w:szCs w:val="24"/>
        </w:rPr>
        <w:t xml:space="preserve">Szám: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239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62397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2397">
        <w:rPr>
          <w:rFonts w:ascii="Times New Roman" w:hAnsi="Times New Roman" w:cs="Times New Roman"/>
          <w:sz w:val="24"/>
          <w:szCs w:val="24"/>
        </w:rPr>
        <w:t>.</w:t>
      </w:r>
      <w:r w:rsidRPr="00784058">
        <w:rPr>
          <w:rFonts w:ascii="Times New Roman" w:hAnsi="Times New Roman" w:cs="Times New Roman"/>
          <w:sz w:val="24"/>
          <w:szCs w:val="24"/>
        </w:rPr>
        <w:t xml:space="preserve"> </w:t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  <w:t>8</w:t>
      </w:r>
      <w:r w:rsidRPr="00A6239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62397">
        <w:rPr>
          <w:rFonts w:ascii="Times New Roman" w:hAnsi="Times New Roman" w:cs="Times New Roman"/>
          <w:sz w:val="24"/>
          <w:szCs w:val="24"/>
        </w:rPr>
        <w:t>számú</w:t>
      </w:r>
      <w:proofErr w:type="gramEnd"/>
      <w:r w:rsidRPr="00A62397">
        <w:rPr>
          <w:rFonts w:ascii="Times New Roman" w:hAnsi="Times New Roman" w:cs="Times New Roman"/>
          <w:sz w:val="24"/>
          <w:szCs w:val="24"/>
        </w:rPr>
        <w:t xml:space="preserve"> napirend anyaga</w:t>
      </w:r>
    </w:p>
    <w:p w:rsidR="002508B1" w:rsidRPr="00A62397" w:rsidRDefault="002508B1" w:rsidP="008C54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A62397" w:rsidRDefault="002508B1" w:rsidP="008C548C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  <w:r w:rsidRPr="00A62397">
        <w:rPr>
          <w:rFonts w:ascii="Times New Roman" w:hAnsi="Times New Roman" w:cs="Times New Roman"/>
          <w:b/>
          <w:bCs/>
          <w:spacing w:val="20"/>
          <w:sz w:val="24"/>
          <w:szCs w:val="24"/>
        </w:rPr>
        <w:t>Előterjesztés</w:t>
      </w:r>
    </w:p>
    <w:p w:rsidR="002508B1" w:rsidRPr="00A62397" w:rsidRDefault="002508B1" w:rsidP="008C5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397">
        <w:rPr>
          <w:rFonts w:ascii="Times New Roman" w:hAnsi="Times New Roman" w:cs="Times New Roman"/>
          <w:b/>
          <w:bCs/>
          <w:sz w:val="24"/>
          <w:szCs w:val="24"/>
        </w:rPr>
        <w:t>Zalaszentgrót Városi Önkormányzat Képviselő-testületének</w:t>
      </w:r>
    </w:p>
    <w:p w:rsidR="002508B1" w:rsidRPr="00A62397" w:rsidRDefault="002508B1" w:rsidP="00EE4A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397">
        <w:rPr>
          <w:rFonts w:ascii="Times New Roman" w:hAnsi="Times New Roman" w:cs="Times New Roman"/>
          <w:b/>
          <w:b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</w:rPr>
        <w:t>4. jún</w:t>
      </w:r>
      <w:r w:rsidRPr="00A62397">
        <w:rPr>
          <w:rFonts w:ascii="Times New Roman" w:hAnsi="Times New Roman" w:cs="Times New Roman"/>
          <w:b/>
          <w:bCs/>
          <w:sz w:val="24"/>
          <w:szCs w:val="24"/>
        </w:rPr>
        <w:t>ius 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62397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rendes </w:t>
      </w:r>
      <w:r w:rsidRPr="00A62397">
        <w:rPr>
          <w:rFonts w:ascii="Times New Roman" w:hAnsi="Times New Roman" w:cs="Times New Roman"/>
          <w:b/>
          <w:bCs/>
          <w:sz w:val="24"/>
          <w:szCs w:val="24"/>
        </w:rPr>
        <w:t>ülésére.</w:t>
      </w:r>
    </w:p>
    <w:p w:rsidR="002508B1" w:rsidRPr="00A62397" w:rsidRDefault="002508B1" w:rsidP="008C548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Pr="00784058" w:rsidRDefault="002508B1" w:rsidP="00784058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84058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78405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84058">
        <w:rPr>
          <w:rFonts w:ascii="Times New Roman" w:hAnsi="Times New Roman" w:cs="Times New Roman"/>
          <w:sz w:val="24"/>
          <w:szCs w:val="24"/>
        </w:rPr>
        <w:t>Zalaszentgrót Város Önkormányzatának a személyes gondoskodást nyújtó szociális ellátások térítési díjairól szóló 5/2009. /III. 24./ számú rendeletének módosítása</w:t>
      </w:r>
    </w:p>
    <w:p w:rsidR="002508B1" w:rsidRPr="00A62397" w:rsidRDefault="002508B1" w:rsidP="008C54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Pr="00A62397" w:rsidRDefault="002508B1" w:rsidP="008C54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23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508B1" w:rsidRDefault="002508B1" w:rsidP="008C54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Default="002508B1" w:rsidP="0086282B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5A09">
        <w:rPr>
          <w:rFonts w:ascii="Times New Roman" w:hAnsi="Times New Roman" w:cs="Times New Roman"/>
          <w:sz w:val="24"/>
          <w:szCs w:val="24"/>
        </w:rPr>
        <w:t>A szociális igazgatásról és a szociális ellátásokról szóló 1993. évi III. törvény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Szoctv</w:t>
      </w:r>
      <w:proofErr w:type="spellEnd"/>
      <w:r>
        <w:rPr>
          <w:rFonts w:ascii="Times New Roman" w:hAnsi="Times New Roman" w:cs="Times New Roman"/>
          <w:sz w:val="24"/>
          <w:szCs w:val="24"/>
        </w:rPr>
        <w:t>.) 115.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miszerint </w:t>
      </w:r>
      <w:r w:rsidRPr="00D05A09">
        <w:rPr>
          <w:rFonts w:ascii="Times New Roman" w:hAnsi="Times New Roman" w:cs="Times New Roman"/>
          <w:sz w:val="24"/>
          <w:szCs w:val="24"/>
        </w:rPr>
        <w:t>a személyes gondoskodást nyújtó ellátásokért fizetendő intézményi térítési díjakat a fenntartó minden évben felülvizsgálja</w:t>
      </w:r>
      <w:r>
        <w:rPr>
          <w:rFonts w:ascii="Times New Roman" w:hAnsi="Times New Roman" w:cs="Times New Roman"/>
          <w:sz w:val="24"/>
          <w:szCs w:val="24"/>
        </w:rPr>
        <w:t xml:space="preserve"> – megfelelően </w:t>
      </w:r>
      <w:r w:rsidRPr="00F85412">
        <w:rPr>
          <w:rFonts w:ascii="Times New Roman" w:hAnsi="Times New Roman" w:cs="Times New Roman"/>
          <w:sz w:val="24"/>
          <w:szCs w:val="24"/>
        </w:rPr>
        <w:t xml:space="preserve">Zalaszentgrót Városi Önkormányzat Képviselő-testülete a személyes gondoskodást nyújtó szociális ellátások térítési díjairól szóló 5/2009. (III.24.) számú rendelet módosításáról szóló 9/2014. (III. 28.) rendeletével megállapította a </w:t>
      </w:r>
      <w:r w:rsidRPr="00EC7A92">
        <w:rPr>
          <w:rFonts w:ascii="Times New Roman" w:hAnsi="Times New Roman" w:cs="Times New Roman"/>
          <w:sz w:val="24"/>
          <w:szCs w:val="24"/>
        </w:rPr>
        <w:t>Zalaszentgróti Szociális és Gyermekjóléti Alapszolgáltatási Központ</w:t>
      </w:r>
      <w:r>
        <w:rPr>
          <w:rFonts w:ascii="Times New Roman" w:hAnsi="Times New Roman" w:cs="Times New Roman"/>
          <w:sz w:val="24"/>
          <w:szCs w:val="24"/>
        </w:rPr>
        <w:t xml:space="preserve"> által nyújtott</w:t>
      </w:r>
      <w:r w:rsidRPr="00F85412">
        <w:rPr>
          <w:rFonts w:ascii="Times New Roman" w:hAnsi="Times New Roman" w:cs="Times New Roman"/>
          <w:sz w:val="24"/>
          <w:szCs w:val="24"/>
        </w:rPr>
        <w:t xml:space="preserve"> személyes</w:t>
      </w:r>
      <w:r w:rsidRPr="00697695">
        <w:rPr>
          <w:rFonts w:ascii="Times New Roman" w:hAnsi="Times New Roman" w:cs="Times New Roman"/>
          <w:sz w:val="24"/>
          <w:szCs w:val="24"/>
        </w:rPr>
        <w:t xml:space="preserve"> gondoskodást nyújtó szociális ellátások </w:t>
      </w:r>
      <w:r>
        <w:rPr>
          <w:rFonts w:ascii="Times New Roman" w:hAnsi="Times New Roman" w:cs="Times New Roman"/>
          <w:sz w:val="24"/>
          <w:szCs w:val="24"/>
        </w:rPr>
        <w:t xml:space="preserve">2014. évi </w:t>
      </w:r>
      <w:r w:rsidRPr="00697695">
        <w:rPr>
          <w:rFonts w:ascii="Times New Roman" w:hAnsi="Times New Roman" w:cs="Times New Roman"/>
          <w:sz w:val="24"/>
          <w:szCs w:val="24"/>
        </w:rPr>
        <w:t>térítési díjai</w:t>
      </w:r>
      <w:r>
        <w:rPr>
          <w:rFonts w:ascii="Times New Roman" w:hAnsi="Times New Roman" w:cs="Times New Roman"/>
          <w:sz w:val="24"/>
          <w:szCs w:val="24"/>
        </w:rPr>
        <w:t>t.</w:t>
      </w:r>
    </w:p>
    <w:p w:rsidR="002508B1" w:rsidRPr="00F85412" w:rsidRDefault="002508B1" w:rsidP="0086282B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Default="002508B1" w:rsidP="0086282B">
      <w:pPr>
        <w:tabs>
          <w:tab w:val="left" w:pos="6345"/>
        </w:tabs>
        <w:spacing w:after="0" w:line="4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22D">
        <w:rPr>
          <w:rFonts w:ascii="Times New Roman" w:hAnsi="Times New Roman" w:cs="Times New Roman"/>
          <w:sz w:val="24"/>
          <w:szCs w:val="24"/>
        </w:rPr>
        <w:t>A térítési díj a belső ellenőri jelentésben, illetőleg a Komárom-Esztergom Megyei Kormányhivatal Törvényességi Ellenőrzési és Felügyeleti Főosztálya által kiadott tájékoztatóban foglaltak figyelembevételével került meghatározásra. Eszerint a térítési díjakról szóló helyi rendeletalkotás során jogsértő az a gyakorlat, hogy a térítési díjak az</w:t>
      </w:r>
      <w:r>
        <w:rPr>
          <w:rFonts w:ascii="Times New Roman" w:hAnsi="Times New Roman" w:cs="Times New Roman"/>
          <w:sz w:val="24"/>
          <w:szCs w:val="24"/>
        </w:rPr>
        <w:t xml:space="preserve"> ÁFA</w:t>
      </w:r>
      <w:r w:rsidRPr="004C422D">
        <w:rPr>
          <w:rFonts w:ascii="Times New Roman" w:hAnsi="Times New Roman" w:cs="Times New Roman"/>
          <w:sz w:val="24"/>
          <w:szCs w:val="24"/>
        </w:rPr>
        <w:t xml:space="preserve"> összegét, vagy </w:t>
      </w:r>
      <w:proofErr w:type="spellStart"/>
      <w:r w:rsidRPr="004C422D">
        <w:rPr>
          <w:rFonts w:ascii="Times New Roman" w:hAnsi="Times New Roman" w:cs="Times New Roman"/>
          <w:sz w:val="24"/>
          <w:szCs w:val="24"/>
        </w:rPr>
        <w:t>ÁFA-val</w:t>
      </w:r>
      <w:proofErr w:type="spellEnd"/>
      <w:r w:rsidRPr="004C422D">
        <w:rPr>
          <w:rFonts w:ascii="Times New Roman" w:hAnsi="Times New Roman" w:cs="Times New Roman"/>
          <w:sz w:val="24"/>
          <w:szCs w:val="24"/>
        </w:rPr>
        <w:t xml:space="preserve"> növelt térítési díjat határoznak meg, illetve a rendelet szabályozz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C422D"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4C422D">
        <w:rPr>
          <w:rFonts w:ascii="Times New Roman" w:hAnsi="Times New Roman" w:cs="Times New Roman"/>
          <w:sz w:val="24"/>
          <w:szCs w:val="24"/>
        </w:rPr>
        <w:t xml:space="preserve">FA mértékét. Ugyanis az étkeztetési szolgáltatás esetében az adó mértékét az általános forgalmi adóról szóló 2007. évi CXXVII. törvény (a továbbiakban: </w:t>
      </w:r>
      <w:proofErr w:type="spellStart"/>
      <w:r w:rsidRPr="004C422D">
        <w:rPr>
          <w:rFonts w:ascii="Times New Roman" w:hAnsi="Times New Roman" w:cs="Times New Roman"/>
          <w:sz w:val="24"/>
          <w:szCs w:val="24"/>
        </w:rPr>
        <w:t>Áfat</w:t>
      </w:r>
      <w:proofErr w:type="spellEnd"/>
      <w:r w:rsidRPr="004C422D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82.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határozza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meg, ennek szabályozására a helyi önkormányzatok nem kaptak felhatalmazást. A térítési díj </w:t>
      </w:r>
      <w:r w:rsidRPr="0086282B">
        <w:rPr>
          <w:rFonts w:ascii="Times New Roman" w:hAnsi="Times New Roman" w:cs="Times New Roman"/>
          <w:sz w:val="24"/>
          <w:szCs w:val="24"/>
        </w:rPr>
        <w:t xml:space="preserve">megállapítását a </w:t>
      </w:r>
      <w:proofErr w:type="spellStart"/>
      <w:r w:rsidRPr="0086282B">
        <w:rPr>
          <w:rFonts w:ascii="Times New Roman" w:hAnsi="Times New Roman" w:cs="Times New Roman"/>
          <w:sz w:val="24"/>
          <w:szCs w:val="24"/>
        </w:rPr>
        <w:t>Szoctv</w:t>
      </w:r>
      <w:proofErr w:type="spellEnd"/>
      <w:r w:rsidRPr="0086282B">
        <w:rPr>
          <w:rFonts w:ascii="Times New Roman" w:hAnsi="Times New Roman" w:cs="Times New Roman"/>
          <w:sz w:val="24"/>
          <w:szCs w:val="24"/>
        </w:rPr>
        <w:t xml:space="preserve">. 115. § (1) bekezdésében foglaltak alapján kell elvégezni. Ezen rendelkezések pedig nem engedik meg, hogy a helyi rendeletben a térítési díjak a szolgáltatást terhelő </w:t>
      </w:r>
      <w:proofErr w:type="spellStart"/>
      <w:r w:rsidRPr="0086282B">
        <w:rPr>
          <w:rFonts w:ascii="Times New Roman" w:hAnsi="Times New Roman" w:cs="Times New Roman"/>
          <w:sz w:val="24"/>
          <w:szCs w:val="24"/>
        </w:rPr>
        <w:t>ÁFA-t</w:t>
      </w:r>
      <w:proofErr w:type="spellEnd"/>
      <w:r w:rsidRPr="0086282B">
        <w:rPr>
          <w:rFonts w:ascii="Times New Roman" w:hAnsi="Times New Roman" w:cs="Times New Roman"/>
          <w:sz w:val="24"/>
          <w:szCs w:val="24"/>
        </w:rPr>
        <w:t xml:space="preserve"> is tartalmazzák.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282B">
        <w:rPr>
          <w:rFonts w:ascii="Times New Roman" w:hAnsi="Times New Roman" w:cs="Times New Roman"/>
          <w:sz w:val="24"/>
          <w:szCs w:val="24"/>
        </w:rPr>
        <w:t xml:space="preserve">Erre tekintettel a rendeletben a térítési díj nettó összeg + ÁFA formájában került </w:t>
      </w:r>
      <w:r w:rsidRPr="00073163">
        <w:rPr>
          <w:rFonts w:ascii="Times New Roman" w:hAnsi="Times New Roman" w:cs="Times New Roman"/>
          <w:sz w:val="24"/>
          <w:szCs w:val="24"/>
        </w:rPr>
        <w:t xml:space="preserve">meghatározásra, az 1 és 2 forintos címletű érmék bevonása következtében szükséges kerekítés szabályairól szóló </w:t>
      </w:r>
      <w:hyperlink r:id="rId7" w:anchor="sid3584" w:history="1">
        <w:r w:rsidRPr="00073163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2008. évi III. törvény 2. §</w:t>
        </w:r>
        <w:proofErr w:type="spellStart"/>
      </w:hyperlink>
      <w:r w:rsidRPr="00073163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Pr="00073163">
        <w:rPr>
          <w:rFonts w:ascii="Times New Roman" w:hAnsi="Times New Roman" w:cs="Times New Roman"/>
          <w:sz w:val="24"/>
          <w:szCs w:val="24"/>
        </w:rPr>
        <w:t xml:space="preserve"> megfelelő módon kerekítve.</w:t>
      </w:r>
    </w:p>
    <w:p w:rsidR="002508B1" w:rsidRPr="0086282B" w:rsidRDefault="002508B1" w:rsidP="0086282B">
      <w:pPr>
        <w:tabs>
          <w:tab w:val="left" w:pos="6345"/>
        </w:tabs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86282B" w:rsidRDefault="002508B1" w:rsidP="0086282B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7A92">
        <w:rPr>
          <w:rFonts w:ascii="Times New Roman" w:hAnsi="Times New Roman" w:cs="Times New Roman"/>
          <w:sz w:val="24"/>
          <w:szCs w:val="24"/>
        </w:rPr>
        <w:t>A Nemzeti Rehabilitációs és Szociális Hivatal (a továbbiakban: NRSZH) 2014. április 15-16-án helyszíni ellenőrzést végzett a Zalaszentgrót és környező települések Intézményfenntartó Társulása által fenntartott Zalaszentgróti Szociális és Gyermekjóléti Alapszolgáltatási Központ</w:t>
      </w:r>
      <w:r>
        <w:rPr>
          <w:rFonts w:ascii="Times New Roman" w:hAnsi="Times New Roman" w:cs="Times New Roman"/>
          <w:sz w:val="24"/>
          <w:szCs w:val="24"/>
        </w:rPr>
        <w:t xml:space="preserve"> által nyújtott szociális étkeztetés, házi segítségnyújtás és nappali ellátás időskorúak számára vonatkozásában. Az NRSZH helyszíni jegyzőkönyvében foglalta össze az ellenőrzés során tett megállapításait, melyek kiterjednek </w:t>
      </w:r>
      <w:r w:rsidRPr="00784058">
        <w:rPr>
          <w:rFonts w:ascii="Times New Roman" w:hAnsi="Times New Roman" w:cs="Times New Roman"/>
          <w:sz w:val="24"/>
          <w:szCs w:val="24"/>
        </w:rPr>
        <w:t>Zalaszentgrót Város Önkormányzatának a személyes gondoskodást nyújtó szociális ellátások térítési díjairól szóló 5/200</w:t>
      </w:r>
      <w:r>
        <w:rPr>
          <w:rFonts w:ascii="Times New Roman" w:hAnsi="Times New Roman" w:cs="Times New Roman"/>
          <w:sz w:val="24"/>
          <w:szCs w:val="24"/>
        </w:rPr>
        <w:t xml:space="preserve">9. /III. 24./ számú rendeletében foglaltakra is. Az ellenőrzés a szociális étkeztetés </w:t>
      </w:r>
      <w:proofErr w:type="spellStart"/>
      <w:r>
        <w:rPr>
          <w:rFonts w:ascii="Times New Roman" w:hAnsi="Times New Roman" w:cs="Times New Roman"/>
          <w:sz w:val="24"/>
          <w:szCs w:val="24"/>
        </w:rPr>
        <w:t>ÁFA-t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tartalmazó térítési díjának helyi rendeletben történő szabályozása kapcsán tett észrevételt. A helyi rendelet a szociális étkeztetés esetén a nettó térítési díj összegét tartalmazza, amely mellett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ÁFA-fizetési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kötelezettség is külön megjelenítésre került. Ugyanakkor </w:t>
      </w:r>
      <w:r w:rsidRPr="002013F3">
        <w:rPr>
          <w:rFonts w:ascii="Times New Roman" w:hAnsi="Times New Roman" w:cs="Times New Roman"/>
          <w:b/>
          <w:bCs/>
          <w:sz w:val="24"/>
          <w:szCs w:val="24"/>
        </w:rPr>
        <w:t>az NRSZH álláspontja szerint a helyi rendeletben a szociális étkeztetés bruttó összegének megjelenítése szükséges, tekintettel arra, hogy az ellátottak a bruttó térítési díjat fizetik az ellátás igénybevétele esetén.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22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4C422D">
        <w:rPr>
          <w:rFonts w:ascii="Times New Roman" w:hAnsi="Times New Roman" w:cs="Times New Roman"/>
          <w:sz w:val="24"/>
          <w:szCs w:val="24"/>
        </w:rPr>
        <w:t>Áfat</w:t>
      </w:r>
      <w:proofErr w:type="spellEnd"/>
      <w:r w:rsidRPr="004C422D">
        <w:rPr>
          <w:rFonts w:ascii="Times New Roman" w:hAnsi="Times New Roman" w:cs="Times New Roman"/>
          <w:sz w:val="24"/>
          <w:szCs w:val="24"/>
        </w:rPr>
        <w:t>. 82.</w:t>
      </w:r>
      <w:r>
        <w:rPr>
          <w:rFonts w:ascii="Times New Roman" w:hAnsi="Times New Roman" w:cs="Times New Roman"/>
          <w:sz w:val="24"/>
          <w:szCs w:val="24"/>
        </w:rPr>
        <w:t xml:space="preserve">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határozza meg az adó mértékét (</w:t>
      </w:r>
      <w:r w:rsidRPr="004373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az adó alapjának 27 százaléka</w:t>
      </w:r>
      <w:r>
        <w:rPr>
          <w:rFonts w:ascii="Times New Roman" w:hAnsi="Times New Roman" w:cs="Times New Roman"/>
          <w:sz w:val="24"/>
          <w:szCs w:val="24"/>
        </w:rPr>
        <w:t xml:space="preserve">) az étkeztetés szolgáltatás esetén, ennek szabályozására a helyi önkormányzatok nem kapnak felhatalmazást. Mindazonáltal az NRSZH szakvéleménye szerint az adó mértékének törvényileg történő rögzítése nem jelenti azt, hogy a helyi önkormányzatnak a szociális étkeztetés díját pusztán nettó összegben –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ÁFA-</w:t>
      </w:r>
      <w:r w:rsidRPr="008B6BCA">
        <w:rPr>
          <w:rFonts w:ascii="Times New Roman" w:hAnsi="Times New Roman" w:cs="Times New Roman"/>
          <w:sz w:val="24"/>
          <w:szCs w:val="24"/>
        </w:rPr>
        <w:t>fizetési</w:t>
      </w:r>
      <w:proofErr w:type="spellEnd"/>
      <w:r w:rsidRPr="008B6BCA">
        <w:rPr>
          <w:rFonts w:ascii="Times New Roman" w:hAnsi="Times New Roman" w:cs="Times New Roman"/>
          <w:sz w:val="24"/>
          <w:szCs w:val="24"/>
        </w:rPr>
        <w:t xml:space="preserve"> kötelezettség feltüntetése mellett –</w:t>
      </w:r>
      <w:r w:rsidRPr="008B6B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lenne módja meghatározni. Következésképpen a helyi rendeletben a szociális étkeztetés </w:t>
      </w:r>
      <w:proofErr w:type="spellStart"/>
      <w:r w:rsidRPr="008B6B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ÁFA-t</w:t>
      </w:r>
      <w:proofErr w:type="spellEnd"/>
      <w:r w:rsidRPr="008B6B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is tartalmazó térítési díjának a kerekítés szabályainak megfelelő megjelenítése szükséges a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Szoctv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BC1556">
        <w:rPr>
          <w:rFonts w:ascii="Times New Roman" w:hAnsi="Times New Roman" w:cs="Times New Roman"/>
          <w:sz w:val="24"/>
          <w:szCs w:val="24"/>
        </w:rPr>
        <w:t xml:space="preserve"> 92/B. § (1) bekezdés a) pontja alapján, mely értelmében </w:t>
      </w:r>
      <w:r w:rsidRPr="00BC1556">
        <w:rPr>
          <w:rFonts w:ascii="Times New Roman" w:hAnsi="Times New Roman" w:cs="Times New Roman"/>
          <w:i/>
          <w:iCs/>
          <w:sz w:val="24"/>
          <w:szCs w:val="24"/>
        </w:rPr>
        <w:t>„</w:t>
      </w:r>
      <w:proofErr w:type="gramStart"/>
      <w:r w:rsidRPr="00BC1556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BC1556">
        <w:rPr>
          <w:rFonts w:ascii="Times New Roman" w:hAnsi="Times New Roman" w:cs="Times New Roman"/>
          <w:i/>
          <w:iCs/>
          <w:sz w:val="24"/>
          <w:szCs w:val="24"/>
        </w:rPr>
        <w:t xml:space="preserve"> személyes gondoskodást nyújtó szociális intézmény állami fenntartója konkrét összegben meghatározza az intézményi térítési díjat”</w:t>
      </w:r>
      <w:r w:rsidRPr="00BC1556">
        <w:rPr>
          <w:rFonts w:ascii="Times New Roman" w:hAnsi="Times New Roman" w:cs="Times New Roman"/>
          <w:sz w:val="24"/>
          <w:szCs w:val="24"/>
        </w:rPr>
        <w:t>, továbbá a személyes gondoskodást nyújtó szociális ellátások térítési díjáról szóló 29/1993. (II. 17.) Korm. rendelet</w:t>
      </w:r>
      <w:r>
        <w:rPr>
          <w:rFonts w:ascii="Times New Roman" w:hAnsi="Times New Roman" w:cs="Times New Roman"/>
          <w:sz w:val="24"/>
          <w:szCs w:val="24"/>
        </w:rPr>
        <w:t xml:space="preserve"> 3. § (4) bekezdése alapján, mely </w:t>
      </w:r>
      <w:r w:rsidRPr="007709E3">
        <w:rPr>
          <w:rFonts w:ascii="Times New Roman" w:hAnsi="Times New Roman" w:cs="Times New Roman"/>
          <w:sz w:val="24"/>
          <w:szCs w:val="24"/>
        </w:rPr>
        <w:t xml:space="preserve">értelmében </w:t>
      </w:r>
      <w:r w:rsidRPr="007709E3">
        <w:rPr>
          <w:rFonts w:ascii="Times New Roman" w:hAnsi="Times New Roman" w:cs="Times New Roman"/>
          <w:i/>
          <w:iCs/>
          <w:sz w:val="24"/>
          <w:szCs w:val="24"/>
        </w:rPr>
        <w:t>„</w:t>
      </w:r>
      <w:proofErr w:type="gramStart"/>
      <w:r w:rsidRPr="007709E3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7709E3">
        <w:rPr>
          <w:rFonts w:ascii="Times New Roman" w:hAnsi="Times New Roman" w:cs="Times New Roman"/>
          <w:i/>
          <w:iCs/>
          <w:sz w:val="24"/>
          <w:szCs w:val="24"/>
        </w:rPr>
        <w:t xml:space="preserve"> intézményi térítési díjat és a személyi térítési díjat az 1 és 2 forintos címletű érmék bevonása következtében szükséges kerekítés szabályairól szóló </w:t>
      </w:r>
      <w:hyperlink r:id="rId8" w:anchor="sid3584" w:history="1">
        <w:r w:rsidRPr="007709E3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2008. évi III. törvény 2. §</w:t>
        </w:r>
        <w:proofErr w:type="spellStart"/>
      </w:hyperlink>
      <w:r w:rsidRPr="007709E3">
        <w:rPr>
          <w:rFonts w:ascii="Times New Roman" w:hAnsi="Times New Roman" w:cs="Times New Roman"/>
          <w:i/>
          <w:iCs/>
          <w:sz w:val="24"/>
          <w:szCs w:val="24"/>
        </w:rPr>
        <w:t>-ának</w:t>
      </w:r>
      <w:proofErr w:type="spellEnd"/>
      <w:r w:rsidRPr="007709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61063">
        <w:rPr>
          <w:rFonts w:ascii="Times New Roman" w:hAnsi="Times New Roman" w:cs="Times New Roman"/>
          <w:i/>
          <w:iCs/>
          <w:sz w:val="24"/>
          <w:szCs w:val="24"/>
        </w:rPr>
        <w:t>megfelelő módon kerekítve kell meghatározni”.</w:t>
      </w:r>
    </w:p>
    <w:p w:rsidR="002508B1" w:rsidRPr="00156F78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6106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61063">
        <w:rPr>
          <w:rFonts w:ascii="Times New Roman" w:hAnsi="Times New Roman" w:cs="Times New Roman"/>
          <w:sz w:val="24"/>
          <w:szCs w:val="24"/>
        </w:rPr>
        <w:t>Szoctv</w:t>
      </w:r>
      <w:proofErr w:type="spellEnd"/>
      <w:r w:rsidRPr="00061063">
        <w:rPr>
          <w:rFonts w:ascii="Times New Roman" w:hAnsi="Times New Roman" w:cs="Times New Roman"/>
          <w:sz w:val="24"/>
          <w:szCs w:val="24"/>
        </w:rPr>
        <w:t>. 115. § (1) bekezdése alapján a szolgáltatási önköltség és a központi költségvetésről szóló törvényben biztosított támogatás egy főre jutó összegének a különbözete adja ki a személyes gondoskodás körébe tartozó szociális ellátások térítési díját (a továbbiakban: intézményi térítési díj). Az intézményi térítési díjat integrált intézmény esetében is szolgáltatásonként kell meghatározni, a közös költségelemek szolgáltatásonkénti közvetlen költségeinek arányában történő megosztásával.</w:t>
      </w:r>
      <w:bookmarkStart w:id="0" w:name="pr1570"/>
      <w:bookmarkStart w:id="1" w:name="pr1571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 xml:space="preserve"> Ennek alapján az intézményi térítési díj számítása során az önköltségszámításba beleszámítható a szociális étkeztetés </w:t>
      </w:r>
      <w:proofErr w:type="spellStart"/>
      <w:r>
        <w:rPr>
          <w:rFonts w:ascii="Times New Roman" w:hAnsi="Times New Roman" w:cs="Times New Roman"/>
          <w:sz w:val="24"/>
          <w:szCs w:val="24"/>
        </w:rPr>
        <w:t>ÁFA-ja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08B1" w:rsidRPr="00061063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Default="002508B1" w:rsidP="00156F78">
      <w:pPr>
        <w:shd w:val="clear" w:color="auto" w:fill="FFFFFF"/>
        <w:spacing w:after="0" w:line="400" w:lineRule="atLeast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F55A08">
        <w:rPr>
          <w:rFonts w:ascii="Times New Roman" w:hAnsi="Times New Roman" w:cs="Times New Roman"/>
          <w:sz w:val="24"/>
          <w:szCs w:val="24"/>
        </w:rPr>
        <w:t xml:space="preserve">A szociális étkeztetéshez kapcsolódó szállítási költség </w:t>
      </w:r>
      <w:r>
        <w:rPr>
          <w:rFonts w:ascii="Times New Roman" w:hAnsi="Times New Roman" w:cs="Times New Roman"/>
          <w:sz w:val="24"/>
          <w:szCs w:val="24"/>
        </w:rPr>
        <w:t>kapcsán</w:t>
      </w:r>
      <w:r w:rsidRPr="00F55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releváns </w:t>
      </w:r>
      <w:r w:rsidRPr="00F55A0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F55A08">
        <w:rPr>
          <w:rFonts w:ascii="Times New Roman" w:hAnsi="Times New Roman" w:cs="Times New Roman"/>
          <w:sz w:val="24"/>
          <w:szCs w:val="24"/>
        </w:rPr>
        <w:t>Áfat</w:t>
      </w:r>
      <w:proofErr w:type="spellEnd"/>
      <w:r w:rsidRPr="00F55A0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85</w:t>
      </w:r>
      <w:r w:rsidRPr="00F55A0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. § (1)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f) pontja</w:t>
      </w:r>
      <w:r w:rsidRPr="00F55A0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miszerint </w:t>
      </w:r>
      <w:r w:rsidRPr="00F55A08">
        <w:rPr>
          <w:rFonts w:ascii="Times New Roman" w:hAnsi="Times New Roman" w:cs="Times New Roman"/>
          <w:i/>
          <w:iCs/>
          <w:color w:val="000000"/>
          <w:sz w:val="24"/>
          <w:szCs w:val="24"/>
          <w:lang w:eastAsia="hu-HU"/>
        </w:rPr>
        <w:t>„Mentes az adó alól az a szolgáltatásnyújtás - az étkeztetés kivételével, ha az ennek fejében járó ellenérték külön térítendő meg - és az ahhoz szorosan kapcsolódó termékértékesítés, amelyet szociális ellátás keretében közszolgáltató - ilyen minőségében – teljesít”.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Az ellenőrzés megjegyzi, hogy a hivatkozott törvényi előírás értelmében </w:t>
      </w:r>
      <w:r w:rsidRPr="003724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élelem kiszállítási költsége nem terhelhető </w:t>
      </w:r>
      <w:proofErr w:type="spellStart"/>
      <w:r w:rsidRPr="003724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ÁFA-val</w:t>
      </w:r>
      <w:proofErr w:type="spellEnd"/>
      <w:r w:rsidRPr="003724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</w:p>
    <w:p w:rsidR="002508B1" w:rsidRPr="00F55A08" w:rsidRDefault="002508B1" w:rsidP="00156F78">
      <w:pPr>
        <w:shd w:val="clear" w:color="auto" w:fill="FFFFFF"/>
        <w:spacing w:after="0" w:line="400" w:lineRule="atLeast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2508B1" w:rsidRDefault="002508B1" w:rsidP="00156F78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intézményi térítési díj</w:t>
      </w:r>
      <w:r w:rsidRPr="009805BA">
        <w:rPr>
          <w:rFonts w:ascii="Times New Roman" w:hAnsi="Times New Roman" w:cs="Times New Roman"/>
          <w:sz w:val="24"/>
          <w:szCs w:val="24"/>
        </w:rPr>
        <w:t xml:space="preserve"> összege az idei esztendőben is változatlan mértékben 0,</w:t>
      </w:r>
      <w:proofErr w:type="spellStart"/>
      <w:r w:rsidRPr="009805BA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9805BA">
        <w:rPr>
          <w:rFonts w:ascii="Times New Roman" w:hAnsi="Times New Roman" w:cs="Times New Roman"/>
          <w:sz w:val="24"/>
          <w:szCs w:val="24"/>
        </w:rPr>
        <w:t xml:space="preserve"> az idősek nappali ellátása tekintetében, tekintettel arra, hogy ezen ellátást igénybevevők száma mára jelentősen lecsökkent, valamint az intézmény költségvetéséből az ellátás biztosítása megoldható térítési díj nélkül.</w:t>
      </w:r>
      <w:r>
        <w:rPr>
          <w:rFonts w:ascii="Times New Roman" w:hAnsi="Times New Roman" w:cs="Times New Roman"/>
          <w:sz w:val="24"/>
          <w:szCs w:val="24"/>
        </w:rPr>
        <w:t xml:space="preserve"> Mindazonáltal az </w:t>
      </w:r>
      <w:r w:rsidRPr="009805BA">
        <w:rPr>
          <w:rFonts w:ascii="Times New Roman" w:hAnsi="Times New Roman" w:cs="Times New Roman"/>
          <w:sz w:val="24"/>
          <w:szCs w:val="24"/>
        </w:rPr>
        <w:t>önkormányzat által biztosított szociális szolgáltatások intézményi térítési díjának</w:t>
      </w:r>
      <w:r>
        <w:rPr>
          <w:rFonts w:ascii="Times New Roman" w:hAnsi="Times New Roman" w:cs="Times New Roman"/>
          <w:sz w:val="24"/>
          <w:szCs w:val="24"/>
        </w:rPr>
        <w:t xml:space="preserve"> az ellátást igénybevevők részére szolgáló teljes körű feltüntetése érdekben indokolt a 0,- Ft-os összeg megjelenítése a rendeletben.</w:t>
      </w:r>
    </w:p>
    <w:p w:rsidR="002508B1" w:rsidRPr="009805BA" w:rsidRDefault="002508B1" w:rsidP="00156F78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CF2639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CF2639">
        <w:rPr>
          <w:rFonts w:ascii="Times New Roman" w:hAnsi="Times New Roman" w:cs="Times New Roman"/>
          <w:sz w:val="24"/>
          <w:szCs w:val="24"/>
          <w:u w:val="single"/>
        </w:rPr>
        <w:lastRenderedPageBreak/>
        <w:t>Előzetes hatásvizsgálat a rendelethez: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2639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2508B1" w:rsidRPr="00CF2639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AE1FBF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1FBF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:rsidR="002508B1" w:rsidRDefault="002508B1" w:rsidP="00156F78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1FBF">
        <w:rPr>
          <w:rFonts w:ascii="Times New Roman" w:hAnsi="Times New Roman" w:cs="Times New Roman"/>
          <w:sz w:val="24"/>
          <w:szCs w:val="24"/>
        </w:rPr>
        <w:t>A rendeletmódosítás révén a szociális étkeztetés térítési díjainak bruttó összegben történő feltüntetése az ellátottak számára nem jelent többletterhet. Az adminisztratív terhek a rendelet módosítását követően nem változnak. A rendelet módosítása környezeti és egészségi hatással nem jár.</w:t>
      </w:r>
    </w:p>
    <w:p w:rsidR="002508B1" w:rsidRPr="00784058" w:rsidRDefault="002508B1" w:rsidP="00156F78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08B1" w:rsidRPr="00AB2DE0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DE0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B2DE0">
        <w:rPr>
          <w:rFonts w:ascii="Times New Roman" w:hAnsi="Times New Roman" w:cs="Times New Roman"/>
          <w:sz w:val="24"/>
          <w:szCs w:val="24"/>
        </w:rPr>
        <w:t xml:space="preserve">A rendeletmódosítást indokolja az NRSZH helyszíni ellenőrzésében foglaltak figyelembe vétele, valamint az ellátást igénybevevők számára a személyes gondoskodás körébe tartozó szociális ellátások térítési díjainak egyértelmű és teljes körű meghatározása. A jogalkotás elmaradása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Szoctv</w:t>
      </w:r>
      <w:proofErr w:type="spellEnd"/>
      <w:r>
        <w:rPr>
          <w:rFonts w:ascii="Times New Roman" w:hAnsi="Times New Roman" w:cs="Times New Roman"/>
          <w:sz w:val="24"/>
          <w:szCs w:val="24"/>
        </w:rPr>
        <w:t>. 92/K. § (4c) bekezdésében felsorolt szankciók alkalmazását vonhatja maga után.</w:t>
      </w:r>
    </w:p>
    <w:p w:rsidR="002508B1" w:rsidRPr="00574C4E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08B1" w:rsidRPr="00CF2639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2639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2639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rendelkezésre állnak. Tehát nem keletkeztet többletfeltételeket a korábbiakhoz képest.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CF2639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2639">
        <w:rPr>
          <w:rFonts w:ascii="Times New Roman" w:hAnsi="Times New Roman" w:cs="Times New Roman"/>
          <w:sz w:val="24"/>
          <w:szCs w:val="24"/>
        </w:rPr>
        <w:t>A fentiekben hivatkozott indokokra tekintettel javaslom a jelen előterjesztés 1. számú mellékletét képező, módosító rendelet-tervezet elfogadását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08B1" w:rsidRDefault="002508B1" w:rsidP="00156F78">
      <w:pPr>
        <w:pStyle w:val="Nincstrkz"/>
        <w:spacing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F73905" w:rsidRDefault="002508B1" w:rsidP="00F73905">
      <w:pPr>
        <w:pStyle w:val="Nincstrkz"/>
        <w:spacing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73905">
        <w:rPr>
          <w:rFonts w:ascii="Times New Roman" w:hAnsi="Times New Roman" w:cs="Times New Roman"/>
          <w:sz w:val="24"/>
          <w:szCs w:val="24"/>
          <w:lang w:eastAsia="hu-HU"/>
        </w:rPr>
        <w:t xml:space="preserve">A Pénzügyi és Ügyrendi Bizottság az előterjesztést a </w:t>
      </w:r>
      <w:r>
        <w:rPr>
          <w:rFonts w:ascii="Times New Roman" w:hAnsi="Times New Roman" w:cs="Times New Roman"/>
          <w:sz w:val="24"/>
          <w:szCs w:val="24"/>
          <w:lang w:eastAsia="hu-HU"/>
        </w:rPr>
        <w:t>2014. június 25</w:t>
      </w:r>
      <w:r w:rsidRPr="00F73905">
        <w:rPr>
          <w:rFonts w:ascii="Times New Roman" w:hAnsi="Times New Roman" w:cs="Times New Roman"/>
          <w:sz w:val="24"/>
          <w:szCs w:val="24"/>
          <w:lang w:eastAsia="hu-HU"/>
        </w:rPr>
        <w:t>-i ülésén tárgyalja, a bizottság véleményét az elnök szóban terjeszti elő.</w:t>
      </w:r>
    </w:p>
    <w:p w:rsidR="002508B1" w:rsidRDefault="002508B1" w:rsidP="00156F78">
      <w:pPr>
        <w:pStyle w:val="Nincstrkz"/>
        <w:spacing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542DBD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42DBD">
        <w:rPr>
          <w:rFonts w:ascii="Times New Roman" w:hAnsi="Times New Roman" w:cs="Times New Roman"/>
          <w:sz w:val="24"/>
          <w:szCs w:val="24"/>
        </w:rPr>
        <w:lastRenderedPageBreak/>
        <w:t>Kérem a Tisztelt Képviselő-testületet, hogy az előterjesztés megvitatását követően a mellékelt módosító rendelet tervezetet elfogadni szíveskedjen.</w:t>
      </w:r>
    </w:p>
    <w:p w:rsidR="002508B1" w:rsidRPr="00542DBD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542DBD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42DBD">
        <w:rPr>
          <w:rFonts w:ascii="Times New Roman" w:hAnsi="Times New Roman" w:cs="Times New Roman"/>
          <w:sz w:val="24"/>
          <w:szCs w:val="24"/>
        </w:rPr>
        <w:t xml:space="preserve">Zalaszentgrót, 2014. </w:t>
      </w:r>
      <w:r>
        <w:rPr>
          <w:rFonts w:ascii="Times New Roman" w:hAnsi="Times New Roman" w:cs="Times New Roman"/>
          <w:sz w:val="24"/>
          <w:szCs w:val="24"/>
        </w:rPr>
        <w:t>június 13.</w:t>
      </w:r>
    </w:p>
    <w:p w:rsidR="002508B1" w:rsidRPr="00542DBD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2508B1" w:rsidRPr="00542DBD">
        <w:tc>
          <w:tcPr>
            <w:tcW w:w="4606" w:type="dxa"/>
          </w:tcPr>
          <w:p w:rsidR="002508B1" w:rsidRPr="00542DBD" w:rsidRDefault="002508B1" w:rsidP="00156F78">
            <w:pPr>
              <w:spacing w:after="0" w:line="4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508B1" w:rsidRPr="00542DBD" w:rsidRDefault="002508B1" w:rsidP="00156F78">
            <w:pPr>
              <w:spacing w:after="0" w:line="40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</w:t>
            </w:r>
            <w:r w:rsidRPr="00542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2508B1" w:rsidRPr="00061063" w:rsidRDefault="002508B1" w:rsidP="00156F78">
            <w:pPr>
              <w:spacing w:after="0" w:line="4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61063">
              <w:rPr>
                <w:rFonts w:ascii="Times New Roman" w:hAnsi="Times New Roman" w:cs="Times New Roman"/>
                <w:sz w:val="24"/>
                <w:szCs w:val="24"/>
              </w:rPr>
              <w:t xml:space="preserve">  polgármester</w:t>
            </w:r>
          </w:p>
        </w:tc>
      </w:tr>
    </w:tbl>
    <w:p w:rsidR="002508B1" w:rsidRPr="00EE4A79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Pr="00EE4A79" w:rsidRDefault="002508B1" w:rsidP="00156F78">
      <w:pPr>
        <w:pStyle w:val="Listaszerbekezds1"/>
        <w:spacing w:line="400" w:lineRule="atLeast"/>
        <w:jc w:val="right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Pr="00EE4A79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Pr="00B47031" w:rsidRDefault="002508B1" w:rsidP="00156F78">
      <w:pPr>
        <w:pStyle w:val="Listaszerbekezds1"/>
        <w:numPr>
          <w:ilvl w:val="0"/>
          <w:numId w:val="7"/>
        </w:numPr>
        <w:spacing w:line="400" w:lineRule="atLeast"/>
        <w:jc w:val="right"/>
        <w:rPr>
          <w:rFonts w:ascii="Times New Roman" w:hAnsi="Times New Roman" w:cs="Times New Roman"/>
          <w:i/>
          <w:iCs/>
        </w:rPr>
      </w:pPr>
      <w:r w:rsidRPr="00B47031">
        <w:rPr>
          <w:rFonts w:ascii="Times New Roman" w:hAnsi="Times New Roman" w:cs="Times New Roman"/>
          <w:i/>
          <w:iCs/>
        </w:rPr>
        <w:lastRenderedPageBreak/>
        <w:t>számú melléklet</w:t>
      </w:r>
    </w:p>
    <w:p w:rsidR="002508B1" w:rsidRPr="00EE4A79" w:rsidRDefault="002508B1" w:rsidP="00156F78">
      <w:pPr>
        <w:spacing w:after="0" w:line="400" w:lineRule="atLeast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2508B1" w:rsidRPr="00B47031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 Képviselő-testületének</w:t>
      </w:r>
    </w:p>
    <w:p w:rsidR="002508B1" w:rsidRPr="00B47031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</w:t>
      </w:r>
      <w:proofErr w:type="gramEnd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/2014. (</w:t>
      </w:r>
      <w:proofErr w:type="gramStart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</w:t>
      </w:r>
      <w:proofErr w:type="gramEnd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rendelete</w:t>
      </w:r>
    </w:p>
    <w:p w:rsidR="002508B1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személyes gondoskodást nyújtó szociális ellátások térítési díjairól szóló </w:t>
      </w:r>
    </w:p>
    <w:p w:rsidR="002508B1" w:rsidRPr="00B47031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5/2009. (III.24.) számú rendelet módosításáról</w:t>
      </w:r>
    </w:p>
    <w:p w:rsidR="002508B1" w:rsidRPr="00EE4A79" w:rsidRDefault="002508B1" w:rsidP="00156F78">
      <w:pPr>
        <w:spacing w:after="0" w:line="400" w:lineRule="atLeast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09F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E09FF">
        <w:rPr>
          <w:rFonts w:ascii="Times New Roman" w:hAnsi="Times New Roman" w:cs="Times New Roman"/>
          <w:sz w:val="24"/>
          <w:szCs w:val="24"/>
        </w:rPr>
        <w:t>szociális igazgatásról és szociális ellátásokról szóló 1993. évi III. törvény 92. § (1) bekezdésében kapott felhatalmazás alapján a személyes gondoskodást nyújtó szociális ellátások térítési díjairól szóló 5/2009. (III. 24.) számú önkormányzati rendelet módosításáról a következőket rendeli el:</w:t>
      </w:r>
    </w:p>
    <w:p w:rsidR="002508B1" w:rsidRPr="002E09FF" w:rsidRDefault="002508B1" w:rsidP="00E0095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Default="002508B1" w:rsidP="00E00952">
      <w:pPr>
        <w:pStyle w:val="Listaszerbekezds1"/>
        <w:numPr>
          <w:ilvl w:val="0"/>
          <w:numId w:val="1"/>
        </w:numPr>
        <w:tabs>
          <w:tab w:val="num" w:pos="720"/>
        </w:tabs>
        <w:spacing w:line="40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 w:rsidRPr="00404E97">
        <w:rPr>
          <w:rFonts w:ascii="Times New Roman" w:hAnsi="Times New Roman" w:cs="Times New Roman"/>
          <w:b/>
          <w:bCs/>
          <w:i/>
          <w:iCs/>
        </w:rPr>
        <w:t>§</w:t>
      </w:r>
    </w:p>
    <w:p w:rsidR="002508B1" w:rsidRDefault="002508B1" w:rsidP="00E00952">
      <w:pPr>
        <w:pStyle w:val="Listaszerbekezds1"/>
        <w:spacing w:line="400" w:lineRule="atLeast"/>
        <w:ind w:left="357"/>
        <w:rPr>
          <w:rFonts w:ascii="Times New Roman" w:hAnsi="Times New Roman" w:cs="Times New Roman"/>
          <w:b/>
          <w:bCs/>
          <w:i/>
          <w:iCs/>
        </w:rPr>
      </w:pPr>
    </w:p>
    <w:p w:rsidR="002508B1" w:rsidRDefault="002508B1" w:rsidP="00E00952">
      <w:pPr>
        <w:pStyle w:val="Listaszerbekezds1"/>
        <w:spacing w:line="400" w:lineRule="atLea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2E09FF">
        <w:rPr>
          <w:rFonts w:ascii="Times New Roman" w:hAnsi="Times New Roman" w:cs="Times New Roman"/>
        </w:rPr>
        <w:t xml:space="preserve"> személyes gondoskodást nyújtó szociális ellátások térítési díjairól szóló 5/2009. (III. 24.) számú önkormányzati </w:t>
      </w:r>
      <w:r w:rsidRPr="00D94025">
        <w:rPr>
          <w:rFonts w:ascii="Times New Roman" w:hAnsi="Times New Roman" w:cs="Times New Roman"/>
        </w:rPr>
        <w:t>rendelet (továbbiakban: R.)</w:t>
      </w:r>
      <w:r>
        <w:rPr>
          <w:rFonts w:ascii="Times New Roman" w:hAnsi="Times New Roman" w:cs="Times New Roman"/>
        </w:rPr>
        <w:t xml:space="preserve"> 1. § (1) </w:t>
      </w:r>
      <w:r w:rsidRPr="00094D9C">
        <w:rPr>
          <w:rFonts w:ascii="Times New Roman" w:hAnsi="Times New Roman" w:cs="Times New Roman"/>
        </w:rPr>
        <w:t>bekezdése helyébe az alábbi rendelkezés lép:</w:t>
      </w:r>
    </w:p>
    <w:p w:rsidR="002508B1" w:rsidRDefault="002508B1" w:rsidP="00E00952">
      <w:pPr>
        <w:pStyle w:val="Listaszerbekezds1"/>
        <w:spacing w:line="400" w:lineRule="atLea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§</w:t>
      </w:r>
    </w:p>
    <w:p w:rsidR="002508B1" w:rsidRPr="00E00952" w:rsidRDefault="002508B1" w:rsidP="00E00952">
      <w:pPr>
        <w:pStyle w:val="Listaszerbekezds1"/>
        <w:spacing w:line="400" w:lineRule="atLeast"/>
        <w:ind w:left="0"/>
        <w:jc w:val="both"/>
        <w:rPr>
          <w:rFonts w:ascii="Times New Roman" w:hAnsi="Times New Roman" w:cs="Times New Roman"/>
          <w:i/>
          <w:iCs/>
        </w:rPr>
      </w:pPr>
      <w:r w:rsidRPr="00E00952">
        <w:rPr>
          <w:rFonts w:ascii="Times New Roman" w:hAnsi="Times New Roman" w:cs="Times New Roman"/>
          <w:i/>
          <w:iCs/>
        </w:rPr>
        <w:t>„(1) A Zalaszentgróti Szociális és Gyermekjóléti Alapszolgáltatási Központ által személyes gondoskodást nyújtó szociális</w:t>
      </w:r>
      <w:r>
        <w:rPr>
          <w:rFonts w:ascii="Times New Roman" w:hAnsi="Times New Roman" w:cs="Times New Roman"/>
          <w:i/>
          <w:iCs/>
        </w:rPr>
        <w:t xml:space="preserve"> ellátás</w:t>
      </w:r>
      <w:r w:rsidRPr="00E00952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formájában</w:t>
      </w:r>
      <w:r w:rsidRPr="00E00952">
        <w:rPr>
          <w:rFonts w:ascii="Times New Roman" w:hAnsi="Times New Roman" w:cs="Times New Roman"/>
          <w:i/>
          <w:iCs/>
        </w:rPr>
        <w:t xml:space="preserve"> az étkeztetés, a házi segítségnyújtás és az idősek nappali ellátása megállapított intézményi térítési díját a Rendelet 1. számú melléklete tartalmazza.”</w:t>
      </w:r>
    </w:p>
    <w:p w:rsidR="002508B1" w:rsidRPr="00D94025" w:rsidRDefault="002508B1" w:rsidP="00E00952">
      <w:pPr>
        <w:pStyle w:val="Listaszerbekezds1"/>
        <w:spacing w:line="400" w:lineRule="atLeast"/>
        <w:ind w:left="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508B1" w:rsidRDefault="002508B1" w:rsidP="00E00952">
      <w:pPr>
        <w:pStyle w:val="Listaszerbekezds1"/>
        <w:numPr>
          <w:ilvl w:val="0"/>
          <w:numId w:val="1"/>
        </w:numPr>
        <w:tabs>
          <w:tab w:val="num" w:pos="720"/>
        </w:tabs>
        <w:spacing w:line="40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§</w:t>
      </w:r>
    </w:p>
    <w:p w:rsidR="002508B1" w:rsidRPr="00404E97" w:rsidRDefault="002508B1" w:rsidP="00E00952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508B1" w:rsidRDefault="002508B1" w:rsidP="00E0095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R. </w:t>
      </w:r>
      <w:r w:rsidRPr="00404E97">
        <w:rPr>
          <w:rFonts w:ascii="Times New Roman" w:hAnsi="Times New Roman" w:cs="Times New Roman"/>
          <w:sz w:val="24"/>
          <w:szCs w:val="24"/>
        </w:rPr>
        <w:t>1. számú melléklete helyébe e rendelet 1. számú melléklete lép.</w:t>
      </w:r>
    </w:p>
    <w:p w:rsidR="002508B1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cs="Times New Roman"/>
        </w:rPr>
      </w:pPr>
    </w:p>
    <w:p w:rsidR="002508B1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cs="Times New Roman"/>
        </w:rPr>
      </w:pPr>
    </w:p>
    <w:p w:rsidR="002508B1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cs="Times New Roman"/>
        </w:rPr>
      </w:pPr>
    </w:p>
    <w:p w:rsidR="002508B1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cs="Times New Roman"/>
        </w:rPr>
      </w:pPr>
    </w:p>
    <w:p w:rsidR="002508B1" w:rsidRPr="00D94025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 w:rsidRPr="00D94025">
        <w:rPr>
          <w:rFonts w:ascii="Times New Roman" w:hAnsi="Times New Roman" w:cs="Times New Roman"/>
          <w:b/>
          <w:bCs/>
          <w:i/>
          <w:iCs/>
        </w:rPr>
        <w:lastRenderedPageBreak/>
        <w:t>Vegyes és záró rendelkezések</w:t>
      </w:r>
    </w:p>
    <w:p w:rsidR="002508B1" w:rsidRDefault="002508B1" w:rsidP="00E00952">
      <w:pPr>
        <w:spacing w:after="0" w:line="400" w:lineRule="atLeast"/>
        <w:ind w:left="720" w:hanging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404E97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404E9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  <w:t>§.</w:t>
      </w:r>
    </w:p>
    <w:p w:rsidR="002508B1" w:rsidRPr="00404E97" w:rsidRDefault="002508B1" w:rsidP="00E00952">
      <w:pPr>
        <w:spacing w:after="0" w:line="400" w:lineRule="atLeast"/>
        <w:ind w:left="720" w:hanging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508B1" w:rsidRDefault="002508B1" w:rsidP="00E00952">
      <w:pPr>
        <w:numPr>
          <w:ilvl w:val="0"/>
          <w:numId w:val="9"/>
        </w:numPr>
        <w:tabs>
          <w:tab w:val="clear" w:pos="765"/>
          <w:tab w:val="num" w:pos="360"/>
        </w:tabs>
        <w:spacing w:after="0" w:line="4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4025">
        <w:rPr>
          <w:rFonts w:ascii="Times New Roman" w:hAnsi="Times New Roman" w:cs="Times New Roman"/>
          <w:sz w:val="24"/>
          <w:szCs w:val="24"/>
        </w:rPr>
        <w:t>E rendelet a kihirdetését követő napon lép hatályba, és hatálybalépését követő napon hatályát veszti. Jelen rendeletmódosítás szerinti térítési díjat 2014. július 01-től kezdődően kell alkalmazni.</w:t>
      </w:r>
    </w:p>
    <w:p w:rsidR="002508B1" w:rsidRDefault="002508B1" w:rsidP="00E00952">
      <w:pPr>
        <w:numPr>
          <w:ilvl w:val="0"/>
          <w:numId w:val="9"/>
        </w:numPr>
        <w:tabs>
          <w:tab w:val="clear" w:pos="765"/>
          <w:tab w:val="num" w:pos="360"/>
        </w:tabs>
        <w:spacing w:after="0" w:line="4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1. § (2)-(3) bekezdése hatályát veszti.</w:t>
      </w:r>
    </w:p>
    <w:p w:rsidR="002508B1" w:rsidRPr="00D94025" w:rsidRDefault="002508B1" w:rsidP="0061048C">
      <w:pPr>
        <w:spacing w:after="0" w:line="400" w:lineRule="atLeast"/>
        <w:ind w:left="-45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404E97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2508B1" w:rsidRPr="00404E97">
        <w:tc>
          <w:tcPr>
            <w:tcW w:w="4606" w:type="dxa"/>
          </w:tcPr>
          <w:p w:rsidR="002508B1" w:rsidRPr="00404E97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2508B1" w:rsidRPr="00404E97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2508B1" w:rsidRPr="00404E97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2508B1" w:rsidRPr="00404E97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2508B1" w:rsidRPr="00404E97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3A7E0A" w:rsidRDefault="002508B1" w:rsidP="00156F78">
      <w:pPr>
        <w:pStyle w:val="NormlWeb"/>
        <w:spacing w:before="0" w:beforeAutospacing="0" w:after="0" w:afterAutospacing="0" w:line="400" w:lineRule="atLeast"/>
        <w:rPr>
          <w:rFonts w:ascii="Times New Roman" w:hAnsi="Times New Roman" w:cs="Times New Roman"/>
        </w:rPr>
      </w:pPr>
      <w:r w:rsidRPr="003A7E0A">
        <w:rPr>
          <w:rFonts w:ascii="Times New Roman" w:hAnsi="Times New Roman" w:cs="Times New Roman"/>
        </w:rPr>
        <w:t>A rendelet 201</w:t>
      </w:r>
      <w:r>
        <w:rPr>
          <w:rFonts w:ascii="Times New Roman" w:hAnsi="Times New Roman" w:cs="Times New Roman"/>
        </w:rPr>
        <w:t>4</w:t>
      </w:r>
      <w:r w:rsidRPr="003A7E0A"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június ….</w:t>
      </w:r>
      <w:proofErr w:type="gramEnd"/>
      <w:r w:rsidRPr="003A7E0A">
        <w:rPr>
          <w:rFonts w:ascii="Times New Roman" w:hAnsi="Times New Roman" w:cs="Times New Roman"/>
        </w:rPr>
        <w:t xml:space="preserve"> napján került kihirdetésre.</w:t>
      </w:r>
    </w:p>
    <w:p w:rsidR="002508B1" w:rsidRPr="003A7E0A" w:rsidRDefault="002508B1" w:rsidP="00156F78">
      <w:pPr>
        <w:pStyle w:val="NormlWeb"/>
        <w:spacing w:before="0" w:beforeAutospacing="0" w:after="0" w:afterAutospacing="0" w:line="400" w:lineRule="atLeast"/>
        <w:rPr>
          <w:rFonts w:ascii="Times New Roman" w:hAnsi="Times New Roman" w:cs="Times New Roman"/>
          <w:b/>
          <w:bCs/>
        </w:rPr>
      </w:pP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Pr="003A7E0A">
        <w:rPr>
          <w:rFonts w:ascii="Times New Roman" w:hAnsi="Times New Roman" w:cs="Times New Roman"/>
          <w:b/>
          <w:bCs/>
        </w:rPr>
        <w:t>Dr. Simon Beáta</w:t>
      </w:r>
    </w:p>
    <w:p w:rsidR="002508B1" w:rsidRDefault="002508B1" w:rsidP="00156F78">
      <w:pPr>
        <w:pStyle w:val="NormlWeb"/>
        <w:spacing w:before="0" w:beforeAutospacing="0" w:after="0" w:afterAutospacing="0"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3A7E0A">
        <w:rPr>
          <w:rFonts w:ascii="Times New Roman" w:hAnsi="Times New Roman" w:cs="Times New Roman"/>
        </w:rPr>
        <w:t xml:space="preserve"> </w:t>
      </w:r>
      <w:proofErr w:type="gramStart"/>
      <w:r w:rsidRPr="003A7E0A">
        <w:rPr>
          <w:rFonts w:ascii="Times New Roman" w:hAnsi="Times New Roman" w:cs="Times New Roman"/>
        </w:rPr>
        <w:t>jegyző</w:t>
      </w:r>
      <w:proofErr w:type="gramEnd"/>
      <w:r w:rsidRPr="003A7E0A">
        <w:rPr>
          <w:rFonts w:ascii="Times New Roman" w:hAnsi="Times New Roman" w:cs="Times New Roman"/>
        </w:rPr>
        <w:t xml:space="preserve"> </w:t>
      </w: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Pr="00EE4A79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Pr="004F775B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F775B">
        <w:rPr>
          <w:rFonts w:ascii="Times New Roman" w:hAnsi="Times New Roman" w:cs="Times New Roman"/>
          <w:sz w:val="24"/>
          <w:szCs w:val="24"/>
        </w:rPr>
        <w:lastRenderedPageBreak/>
        <w:t>1. sz. melléklet</w:t>
      </w:r>
    </w:p>
    <w:p w:rsidR="002508B1" w:rsidRPr="004F775B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pStyle w:val="Listaszerbekezds1"/>
        <w:numPr>
          <w:ilvl w:val="0"/>
          <w:numId w:val="2"/>
        </w:numPr>
        <w:spacing w:line="400" w:lineRule="atLeast"/>
        <w:rPr>
          <w:rFonts w:ascii="Times New Roman" w:hAnsi="Times New Roman" w:cs="Times New Roman"/>
        </w:rPr>
      </w:pPr>
      <w:r w:rsidRPr="00B055F6">
        <w:rPr>
          <w:rFonts w:ascii="Times New Roman" w:hAnsi="Times New Roman" w:cs="Times New Roman"/>
          <w:b/>
          <w:bCs/>
        </w:rPr>
        <w:t>Házi segítségnyújtás:</w:t>
      </w:r>
    </w:p>
    <w:p w:rsidR="002508B1" w:rsidRPr="00B055F6" w:rsidRDefault="002508B1" w:rsidP="00156F78">
      <w:pPr>
        <w:pStyle w:val="Listaszerbekezds1"/>
        <w:spacing w:line="400" w:lineRule="atLeast"/>
        <w:ind w:left="360"/>
        <w:rPr>
          <w:rFonts w:ascii="Times New Roman" w:hAnsi="Times New Roman" w:cs="Times New Roman"/>
        </w:rPr>
      </w:pPr>
    </w:p>
    <w:p w:rsidR="002508B1" w:rsidRPr="00B055F6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sz w:val="24"/>
          <w:szCs w:val="24"/>
        </w:rPr>
        <w:t xml:space="preserve">Intézményi térítési díj egy gondozási órára megállapított összege: </w:t>
      </w: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100 Ft </w:t>
      </w:r>
    </w:p>
    <w:p w:rsidR="002508B1" w:rsidRPr="00B055F6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pStyle w:val="Listaszerbekezds1"/>
        <w:numPr>
          <w:ilvl w:val="0"/>
          <w:numId w:val="2"/>
        </w:numPr>
        <w:spacing w:line="400" w:lineRule="atLeast"/>
        <w:rPr>
          <w:rFonts w:ascii="Times New Roman" w:hAnsi="Times New Roman" w:cs="Times New Roman"/>
        </w:rPr>
      </w:pPr>
      <w:r w:rsidRPr="00B055F6">
        <w:rPr>
          <w:rFonts w:ascii="Times New Roman" w:hAnsi="Times New Roman" w:cs="Times New Roman"/>
          <w:b/>
          <w:bCs/>
        </w:rPr>
        <w:t>Étkeztetésért fizetendő személyi térítési díj</w:t>
      </w:r>
    </w:p>
    <w:p w:rsidR="002508B1" w:rsidRPr="00B055F6" w:rsidRDefault="002508B1" w:rsidP="00156F78">
      <w:pPr>
        <w:pStyle w:val="Listaszerbekezds1"/>
        <w:spacing w:line="400" w:lineRule="atLeast"/>
        <w:ind w:left="1080"/>
        <w:rPr>
          <w:rFonts w:ascii="Times New Roman" w:hAnsi="Times New Roman" w:cs="Times New Roman"/>
          <w:b/>
          <w:bCs/>
        </w:rPr>
      </w:pPr>
    </w:p>
    <w:p w:rsidR="002508B1" w:rsidRPr="00B055F6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sz w:val="24"/>
          <w:szCs w:val="24"/>
        </w:rPr>
        <w:t xml:space="preserve">Intézményi térítési díj napi összege: </w:t>
      </w:r>
      <w:r w:rsidRPr="00B055F6">
        <w:rPr>
          <w:rFonts w:ascii="Times New Roman" w:hAnsi="Times New Roman" w:cs="Times New Roman"/>
          <w:b/>
          <w:bCs/>
          <w:sz w:val="24"/>
          <w:szCs w:val="24"/>
        </w:rPr>
        <w:t>bruttó 455 Ft</w:t>
      </w:r>
    </w:p>
    <w:p w:rsidR="002508B1" w:rsidRPr="00B055F6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spacing w:after="0" w:line="40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>Az étkeztetésért fizetendő személyi térítési díj csökkentési rendszere</w:t>
      </w:r>
    </w:p>
    <w:p w:rsidR="002508B1" w:rsidRPr="00B055F6" w:rsidRDefault="002508B1" w:rsidP="00156F78">
      <w:pPr>
        <w:spacing w:after="0" w:line="40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Étkeztetés </w:t>
      </w:r>
    </w:p>
    <w:p w:rsidR="002508B1" w:rsidRDefault="002508B1" w:rsidP="00156F78">
      <w:pPr>
        <w:spacing w:after="0" w:line="40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(A díjak az </w:t>
      </w:r>
      <w:proofErr w:type="spellStart"/>
      <w:r w:rsidRPr="00B055F6">
        <w:rPr>
          <w:rFonts w:ascii="Times New Roman" w:hAnsi="Times New Roman" w:cs="Times New Roman"/>
          <w:b/>
          <w:bCs/>
          <w:sz w:val="24"/>
          <w:szCs w:val="24"/>
        </w:rPr>
        <w:t>ÁFA-t</w:t>
      </w:r>
      <w:proofErr w:type="spellEnd"/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 is tartalmazzák)</w:t>
      </w:r>
    </w:p>
    <w:p w:rsidR="002508B1" w:rsidRPr="00B055F6" w:rsidRDefault="002508B1" w:rsidP="00156F78">
      <w:pPr>
        <w:spacing w:after="0" w:line="40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57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6021"/>
        <w:gridCol w:w="3136"/>
      </w:tblGrid>
      <w:tr w:rsidR="002508B1" w:rsidRPr="00B055F6">
        <w:trPr>
          <w:trHeight w:val="835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  <w:p w:rsidR="002508B1" w:rsidRPr="00B055F6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Fizetendő személyi térítési díj napi összege</w:t>
            </w:r>
          </w:p>
        </w:tc>
      </w:tr>
      <w:tr w:rsidR="002508B1" w:rsidRPr="00B055F6">
        <w:trPr>
          <w:trHeight w:val="255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sz w:val="24"/>
                <w:szCs w:val="24"/>
              </w:rPr>
              <w:t xml:space="preserve">Jövedelem &lt; öregségi nyugdíjminimum 200 %- </w:t>
            </w:r>
            <w:proofErr w:type="gramStart"/>
            <w:r w:rsidRPr="00B055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350,</w:t>
            </w:r>
            <w:proofErr w:type="spellStart"/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2508B1" w:rsidRPr="00B055F6">
        <w:trPr>
          <w:trHeight w:val="255"/>
        </w:trPr>
        <w:tc>
          <w:tcPr>
            <w:tcW w:w="6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sz w:val="24"/>
                <w:szCs w:val="24"/>
              </w:rPr>
              <w:t xml:space="preserve">Jövedelem = öregségi nyugdíjminimum 200-300 %- </w:t>
            </w:r>
            <w:proofErr w:type="gramStart"/>
            <w:r w:rsidRPr="00B055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395,</w:t>
            </w:r>
            <w:proofErr w:type="spellStart"/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2508B1" w:rsidRPr="00B055F6">
        <w:trPr>
          <w:trHeight w:val="255"/>
        </w:trPr>
        <w:tc>
          <w:tcPr>
            <w:tcW w:w="6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sz w:val="24"/>
                <w:szCs w:val="24"/>
              </w:rPr>
              <w:t xml:space="preserve">Jövedelem &gt; öregségi nyugdíjminimum 300 %- </w:t>
            </w:r>
            <w:proofErr w:type="gramStart"/>
            <w:r w:rsidRPr="00B055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455,- Ft</w:t>
            </w:r>
          </w:p>
        </w:tc>
      </w:tr>
    </w:tbl>
    <w:p w:rsidR="002508B1" w:rsidRPr="00B055F6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numPr>
          <w:ilvl w:val="0"/>
          <w:numId w:val="2"/>
        </w:num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 Étkezéshez kapcsolódó szállítási </w:t>
      </w:r>
      <w:r w:rsidRPr="00EB4305">
        <w:rPr>
          <w:rFonts w:ascii="Times New Roman" w:hAnsi="Times New Roman" w:cs="Times New Roman"/>
          <w:b/>
          <w:bCs/>
          <w:sz w:val="24"/>
          <w:szCs w:val="24"/>
        </w:rPr>
        <w:t>költség: 75,</w:t>
      </w:r>
      <w:proofErr w:type="spellStart"/>
      <w:r w:rsidRPr="00EB4305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2508B1" w:rsidRPr="00B055F6" w:rsidRDefault="002508B1" w:rsidP="00B055F6">
      <w:pPr>
        <w:spacing w:after="0" w:line="4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numPr>
          <w:ilvl w:val="0"/>
          <w:numId w:val="2"/>
        </w:numPr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 Idősek nappali ellátása:</w:t>
      </w:r>
    </w:p>
    <w:p w:rsidR="002508B1" w:rsidRPr="00B055F6" w:rsidRDefault="002508B1" w:rsidP="00B055F6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B055F6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B055F6">
        <w:rPr>
          <w:rFonts w:ascii="Times New Roman" w:hAnsi="Times New Roman" w:cs="Times New Roman"/>
          <w:sz w:val="24"/>
          <w:szCs w:val="24"/>
        </w:rPr>
        <w:t>Csak napközbeni ta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055F6">
        <w:rPr>
          <w:rFonts w:ascii="Times New Roman" w:hAnsi="Times New Roman" w:cs="Times New Roman"/>
          <w:sz w:val="24"/>
          <w:szCs w:val="24"/>
        </w:rPr>
        <w:t xml:space="preserve">tózkodást igénybe vevők díjának napi összege: </w:t>
      </w:r>
      <w:r w:rsidRPr="00B055F6">
        <w:rPr>
          <w:rFonts w:ascii="Times New Roman" w:hAnsi="Times New Roman" w:cs="Times New Roman"/>
          <w:b/>
          <w:bCs/>
          <w:sz w:val="24"/>
          <w:szCs w:val="24"/>
        </w:rPr>
        <w:t>0,</w:t>
      </w:r>
      <w:proofErr w:type="spellStart"/>
      <w:r w:rsidRPr="00B055F6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2508B1" w:rsidRPr="00404E97" w:rsidRDefault="002508B1" w:rsidP="00156F78">
      <w:pPr>
        <w:spacing w:after="0" w:line="400" w:lineRule="atLeast"/>
        <w:rPr>
          <w:rFonts w:ascii="Times New Roman" w:hAnsi="Times New Roman" w:cs="Times New Roman"/>
        </w:rPr>
      </w:pPr>
    </w:p>
    <w:sectPr w:rsidR="002508B1" w:rsidRPr="00404E97" w:rsidSect="007B74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8B1" w:rsidRDefault="002508B1" w:rsidP="002C67C0">
      <w:pPr>
        <w:spacing w:after="0" w:line="240" w:lineRule="auto"/>
      </w:pPr>
      <w:r>
        <w:separator/>
      </w:r>
    </w:p>
  </w:endnote>
  <w:endnote w:type="continuationSeparator" w:id="1">
    <w:p w:rsidR="002508B1" w:rsidRDefault="002508B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8B1" w:rsidRDefault="00AA5C2A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8B1" w:rsidRDefault="002508B1" w:rsidP="002C67C0">
      <w:pPr>
        <w:spacing w:after="0" w:line="240" w:lineRule="auto"/>
      </w:pPr>
      <w:r>
        <w:separator/>
      </w:r>
    </w:p>
  </w:footnote>
  <w:footnote w:type="continuationSeparator" w:id="1">
    <w:p w:rsidR="002508B1" w:rsidRDefault="002508B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8B1" w:rsidRDefault="00AE359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83717"/>
    <w:multiLevelType w:val="hybridMultilevel"/>
    <w:tmpl w:val="C73E3F94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4E17255"/>
    <w:multiLevelType w:val="hybridMultilevel"/>
    <w:tmpl w:val="02C6C780"/>
    <w:lvl w:ilvl="0" w:tplc="91365398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22B"/>
    <w:rsid w:val="00015566"/>
    <w:rsid w:val="00057DDF"/>
    <w:rsid w:val="00061063"/>
    <w:rsid w:val="00073163"/>
    <w:rsid w:val="00094D9C"/>
    <w:rsid w:val="000A2617"/>
    <w:rsid w:val="000A2A04"/>
    <w:rsid w:val="000B289F"/>
    <w:rsid w:val="000D3BD3"/>
    <w:rsid w:val="001055EA"/>
    <w:rsid w:val="001063D9"/>
    <w:rsid w:val="0014113F"/>
    <w:rsid w:val="00145A1E"/>
    <w:rsid w:val="00156F78"/>
    <w:rsid w:val="001729C3"/>
    <w:rsid w:val="001D139B"/>
    <w:rsid w:val="001E0088"/>
    <w:rsid w:val="001F48C4"/>
    <w:rsid w:val="002013F3"/>
    <w:rsid w:val="0021442F"/>
    <w:rsid w:val="002160F0"/>
    <w:rsid w:val="00220090"/>
    <w:rsid w:val="002508B1"/>
    <w:rsid w:val="002A1C7B"/>
    <w:rsid w:val="002B2100"/>
    <w:rsid w:val="002C67C0"/>
    <w:rsid w:val="002D499C"/>
    <w:rsid w:val="002E09FF"/>
    <w:rsid w:val="002F2E01"/>
    <w:rsid w:val="00301709"/>
    <w:rsid w:val="00307E9B"/>
    <w:rsid w:val="00315164"/>
    <w:rsid w:val="003406A5"/>
    <w:rsid w:val="00363190"/>
    <w:rsid w:val="00371F12"/>
    <w:rsid w:val="0037248E"/>
    <w:rsid w:val="003963F1"/>
    <w:rsid w:val="003A7E0A"/>
    <w:rsid w:val="003B2911"/>
    <w:rsid w:val="003C70F0"/>
    <w:rsid w:val="003E0A51"/>
    <w:rsid w:val="00403ED0"/>
    <w:rsid w:val="00404E97"/>
    <w:rsid w:val="004373DB"/>
    <w:rsid w:val="00452605"/>
    <w:rsid w:val="00483746"/>
    <w:rsid w:val="004A1489"/>
    <w:rsid w:val="004C232B"/>
    <w:rsid w:val="004C422D"/>
    <w:rsid w:val="004D4062"/>
    <w:rsid w:val="004F4906"/>
    <w:rsid w:val="004F775B"/>
    <w:rsid w:val="0052110A"/>
    <w:rsid w:val="00542DBD"/>
    <w:rsid w:val="0056076D"/>
    <w:rsid w:val="0057184E"/>
    <w:rsid w:val="00574C4E"/>
    <w:rsid w:val="00580A7D"/>
    <w:rsid w:val="00582849"/>
    <w:rsid w:val="00596A13"/>
    <w:rsid w:val="005A660F"/>
    <w:rsid w:val="005E5900"/>
    <w:rsid w:val="0061048C"/>
    <w:rsid w:val="00624D11"/>
    <w:rsid w:val="0065065C"/>
    <w:rsid w:val="006660BE"/>
    <w:rsid w:val="00674D7C"/>
    <w:rsid w:val="00675101"/>
    <w:rsid w:val="00697695"/>
    <w:rsid w:val="006C0E89"/>
    <w:rsid w:val="0070576F"/>
    <w:rsid w:val="00717604"/>
    <w:rsid w:val="007242B1"/>
    <w:rsid w:val="00727781"/>
    <w:rsid w:val="00740AE1"/>
    <w:rsid w:val="00744542"/>
    <w:rsid w:val="00745B1E"/>
    <w:rsid w:val="007709E3"/>
    <w:rsid w:val="00784058"/>
    <w:rsid w:val="007A29FB"/>
    <w:rsid w:val="007A35CA"/>
    <w:rsid w:val="007B7437"/>
    <w:rsid w:val="007D217D"/>
    <w:rsid w:val="00802B79"/>
    <w:rsid w:val="0080393F"/>
    <w:rsid w:val="008113DA"/>
    <w:rsid w:val="00811CB4"/>
    <w:rsid w:val="00814562"/>
    <w:rsid w:val="00815AC9"/>
    <w:rsid w:val="00823064"/>
    <w:rsid w:val="0083048D"/>
    <w:rsid w:val="0086282B"/>
    <w:rsid w:val="008966AC"/>
    <w:rsid w:val="008A784A"/>
    <w:rsid w:val="008B6BCA"/>
    <w:rsid w:val="008C09DA"/>
    <w:rsid w:val="008C548C"/>
    <w:rsid w:val="00926AFF"/>
    <w:rsid w:val="00955168"/>
    <w:rsid w:val="009755AC"/>
    <w:rsid w:val="009805BA"/>
    <w:rsid w:val="009840FE"/>
    <w:rsid w:val="009C7657"/>
    <w:rsid w:val="009F552A"/>
    <w:rsid w:val="00A04FD6"/>
    <w:rsid w:val="00A17633"/>
    <w:rsid w:val="00A4317A"/>
    <w:rsid w:val="00A62397"/>
    <w:rsid w:val="00A64DD4"/>
    <w:rsid w:val="00A66644"/>
    <w:rsid w:val="00A963D6"/>
    <w:rsid w:val="00AA5C2A"/>
    <w:rsid w:val="00AB2DE0"/>
    <w:rsid w:val="00AD0617"/>
    <w:rsid w:val="00AE1FBF"/>
    <w:rsid w:val="00AE359D"/>
    <w:rsid w:val="00AE4633"/>
    <w:rsid w:val="00AE6336"/>
    <w:rsid w:val="00B055F6"/>
    <w:rsid w:val="00B47031"/>
    <w:rsid w:val="00B92DD5"/>
    <w:rsid w:val="00B94C2C"/>
    <w:rsid w:val="00B94CFC"/>
    <w:rsid w:val="00BA477A"/>
    <w:rsid w:val="00BC1556"/>
    <w:rsid w:val="00BC6E9A"/>
    <w:rsid w:val="00BF15B2"/>
    <w:rsid w:val="00C12C06"/>
    <w:rsid w:val="00C2328E"/>
    <w:rsid w:val="00C2344E"/>
    <w:rsid w:val="00C2396A"/>
    <w:rsid w:val="00C24D73"/>
    <w:rsid w:val="00C3487A"/>
    <w:rsid w:val="00C36F74"/>
    <w:rsid w:val="00C51288"/>
    <w:rsid w:val="00CA1EAB"/>
    <w:rsid w:val="00CE3B09"/>
    <w:rsid w:val="00CE63F9"/>
    <w:rsid w:val="00CF2639"/>
    <w:rsid w:val="00D05A09"/>
    <w:rsid w:val="00D23FA2"/>
    <w:rsid w:val="00D601C4"/>
    <w:rsid w:val="00D6656E"/>
    <w:rsid w:val="00D67460"/>
    <w:rsid w:val="00D72C1C"/>
    <w:rsid w:val="00D826C2"/>
    <w:rsid w:val="00D86107"/>
    <w:rsid w:val="00D94025"/>
    <w:rsid w:val="00DB5B2A"/>
    <w:rsid w:val="00DD777A"/>
    <w:rsid w:val="00DE552C"/>
    <w:rsid w:val="00E00952"/>
    <w:rsid w:val="00E36351"/>
    <w:rsid w:val="00E90BCC"/>
    <w:rsid w:val="00E9372B"/>
    <w:rsid w:val="00EB4305"/>
    <w:rsid w:val="00EC7A92"/>
    <w:rsid w:val="00EE4A79"/>
    <w:rsid w:val="00F55A08"/>
    <w:rsid w:val="00F63E93"/>
    <w:rsid w:val="00F73905"/>
    <w:rsid w:val="00F85412"/>
    <w:rsid w:val="00FF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character" w:customStyle="1" w:styleId="para">
    <w:name w:val="para"/>
    <w:basedOn w:val="Bekezdsalapbettpusa"/>
    <w:uiPriority w:val="99"/>
    <w:rsid w:val="004373DB"/>
  </w:style>
  <w:style w:type="character" w:customStyle="1" w:styleId="section">
    <w:name w:val="section"/>
    <w:basedOn w:val="Bekezdsalapbettpusa"/>
    <w:uiPriority w:val="99"/>
    <w:rsid w:val="004373DB"/>
  </w:style>
  <w:style w:type="character" w:customStyle="1" w:styleId="point">
    <w:name w:val="point"/>
    <w:basedOn w:val="Bekezdsalapbettpusa"/>
    <w:uiPriority w:val="99"/>
    <w:rsid w:val="00BC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8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8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8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en.hu/loadpage.php?dest=OISZ&amp;twhich=1001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ten.hu/loadpage.php?dest=OISZ&amp;twhich=1001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1294</Words>
  <Characters>9359</Characters>
  <Application>Microsoft Office Word</Application>
  <DocSecurity>0</DocSecurity>
  <Lines>77</Lines>
  <Paragraphs>21</Paragraphs>
  <ScaleCrop>false</ScaleCrop>
  <Company>Zalaszentgrót Város Önkormányzata</Company>
  <LinksUpToDate>false</LinksUpToDate>
  <CharactersWithSpaces>10632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Zgrót PH Titkárság</cp:lastModifiedBy>
  <cp:revision>15</cp:revision>
  <cp:lastPrinted>2014-03-14T06:25:00Z</cp:lastPrinted>
  <dcterms:created xsi:type="dcterms:W3CDTF">2014-06-16T05:32:00Z</dcterms:created>
  <dcterms:modified xsi:type="dcterms:W3CDTF">2014-06-20T06:08:00Z</dcterms:modified>
</cp:coreProperties>
</file>